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4419600</wp:posOffset>
            </wp:positionH>
            <wp:positionV relativeFrom="paragraph">
              <wp:posOffset>114300</wp:posOffset>
            </wp:positionV>
            <wp:extent cx="1490663" cy="509628"/>
            <wp:effectExtent b="0" l="0" r="0" t="0"/>
            <wp:wrapSquare wrapText="bothSides" distB="114300" distT="114300" distL="114300" distR="114300"/>
            <wp:docPr descr="tyresystem-logo-newsletter.gif" id="1"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St. Johann, den 07.04.2026</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sz w:val="26"/>
          <w:szCs w:val="26"/>
        </w:rPr>
      </w:pPr>
      <w:r w:rsidDel="00000000" w:rsidR="00000000" w:rsidRPr="00000000">
        <w:rPr>
          <w:b w:val="1"/>
          <w:bCs w:val="1"/>
          <w:sz w:val="26"/>
          <w:szCs w:val="26"/>
          <w:rtl w:val="0"/>
        </w:rPr>
        <w:t xml:space="preserve">T</w:t>
      </w:r>
      <w:r w:rsidDel="00000000" w:rsidR="00000000" w:rsidRPr="00000000">
        <w:rPr>
          <w:b w:val="1"/>
          <w:bCs w:val="1"/>
          <w:sz w:val="26"/>
          <w:szCs w:val="26"/>
          <w:rtl w:val="0"/>
        </w:rPr>
        <w:t xml:space="preserve">yreSystem: Mehr Nachhaltigkeit dank Altreifenentsorgung</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Als Mitglied der Allianz Zukunft Reifen (AZuR) setzt sich der Reifen-Onlinehändler TyreSystem seit 2024 aktiv für mehr Nachhaltigkeit in der Reifenbranche ein. Mit der Altreifenentsorgung bietet TyreSystem</w:t>
      </w:r>
      <w:r w:rsidDel="00000000" w:rsidR="00000000" w:rsidRPr="00000000">
        <w:rPr>
          <w:rtl w:val="0"/>
        </w:rPr>
        <w:t xml:space="preserve"> </w:t>
      </w:r>
      <w:r w:rsidDel="00000000" w:rsidR="00000000" w:rsidRPr="00000000">
        <w:rPr>
          <w:rtl w:val="0"/>
        </w:rPr>
        <w:t xml:space="preserve">Kunden eine einfache und schnelle Möglichkeit, ihre Reifen nachhaltig und umweltschonend zu entsorgen und zurück in die Kreislaufwirtschaft einzuschleusen.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Bußgelder bis zu 20.000 Euro</w:t>
      </w:r>
    </w:p>
    <w:p w:rsidR="00000000" w:rsidDel="00000000" w:rsidP="00000000" w:rsidRDefault="00000000" w:rsidRPr="00000000" w14:paraId="0000000B">
      <w:pPr>
        <w:rPr/>
      </w:pPr>
      <w:r w:rsidDel="00000000" w:rsidR="00000000" w:rsidRPr="00000000">
        <w:rPr>
          <w:rtl w:val="0"/>
        </w:rPr>
        <w:t xml:space="preserve">Die durchschnittliche Lebensdauer eines Pkw-Reifens liegt laut ADAC zwischen acht und zehn Jahren. Nach ca. sechs Jahren beginnen Reifen allerdings, ihre optimalen Eigenschaften zu verlieren. Beschädigungen, Unfälle oder häufige Belastungen führen dazu, dass sie früher gewechselt werden müssen. Die Altreifenentsorgung gehört zu den sogenannten „überwachungsbedürftigen Abfällen“. Die Abholung, Sortierung, Lagerung und Verwertung muss daher immer einer Behörde gemeldet werden. Entsorgungsbetriebe benötigen eine behördliche Genehmigung, um alte Pneus entsorgen zu dürfen. Die illegale Entsorgung von Altreifen wird je nach Bundesland mit Strafen bis zu 200 Euro pro Reifensatz geahndet, bei größeren Mengen droht ein Bußgeld bis zu 20.000 Euro.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Die legale und korrekte Altreifenentsorgung gibt Reifen eine zweite Chance: Allerdings werden bislang nur etwa 30 Prozent aller Reifen jährlich tatsächlich recycelt. AZuR hat es sich zur Aufgabe gemacht, diesen Prozentsatz kontinuierlich zu steigern. Werden Reifen zurück in die Kreislaufwirtschaft gegeben, können sie durch u.a. für die Produktion neuer Reifen, als Sekundärbrennstoff oder als Rohstoffe für eine Vielzahl weiterer Produkte weiterverwendet werden.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Altreifenentsorgung: Schnell, einfach, nachhaltig</w:t>
      </w:r>
    </w:p>
    <w:p w:rsidR="00000000" w:rsidDel="00000000" w:rsidP="00000000" w:rsidRDefault="00000000" w:rsidRPr="00000000" w14:paraId="00000010">
      <w:pPr>
        <w:rPr/>
      </w:pPr>
      <w:r w:rsidDel="00000000" w:rsidR="00000000" w:rsidRPr="00000000">
        <w:rPr>
          <w:rtl w:val="0"/>
        </w:rPr>
        <w:t xml:space="preserve">Seit 2024 bietet TyreSystem seinen Kunden den Service der Altreifenentsorgung an. Unter der Kategorie „Altreifenentsorgung“ im Webshop wird der entsprechende Entsorgungsartikel mit der gewünschten Stückzahl (mindestens 80 Stück) in den Warenkorb gelegt. Zudem kann eine Ladehilfe dazugebucht werden. Die Bestellung wird wie gewohnt abgeschickt. Im Anschluss informiert TyreSystem einen zertifizierten Altreifenentsorger in der Nähe des Kunden, der sich direkt um die Terminvereinbarung kümmert. Die Rechnungserstellung erfolgt nur über die tatsächlich abgeholte Stückzahl und wird von TyreSystem durchgeführt.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Der Entsorger kümmert sich um die umweltschonende und nachhaltige Wieder- bzw. Weiterverwertung. Weitere Informationen unter www.tyresystem.de/altreifenentsorgung.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17">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Schondra und Sottrum.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b w:val="1"/>
          <w:bCs w:val="1"/>
          <w:sz w:val="28"/>
          <w:szCs w:val="28"/>
          <w:rtl w:val="0"/>
        </w:rPr>
        <w:t xml:space="preserve">Bildmaterial:</w:t>
      </w:r>
      <w:r w:rsidDel="00000000" w:rsidR="00000000" w:rsidRPr="00000000">
        <w:rPr>
          <w:rtl w:val="0"/>
        </w:rPr>
      </w:r>
    </w:p>
    <w:p w:rsidR="00000000" w:rsidDel="00000000" w:rsidP="00000000" w:rsidRDefault="00000000" w:rsidRPr="00000000" w14:paraId="0000001B">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C">
            <w:pPr>
              <w:rPr>
                <w:b w:val="1"/>
                <w:bCs w:val="1"/>
                <w:sz w:val="24"/>
                <w:szCs w:val="24"/>
              </w:rPr>
            </w:pPr>
            <w:r w:rsidDel="00000000" w:rsidR="00000000" w:rsidRPr="00000000">
              <w:rPr>
                <w:b w:val="1"/>
                <w:bCs w:val="1"/>
                <w:sz w:val="24"/>
                <w:szCs w:val="24"/>
              </w:rPr>
              <w:drawing>
                <wp:inline distB="114300" distT="114300" distL="114300" distR="114300">
                  <wp:extent cx="1571625" cy="15748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571625" cy="15748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D">
            <w:pPr>
              <w:rPr>
                <w:sz w:val="24"/>
                <w:szCs w:val="24"/>
              </w:rPr>
            </w:pPr>
            <w:r w:rsidDel="00000000" w:rsidR="00000000" w:rsidRPr="00000000">
              <w:rPr>
                <w:sz w:val="24"/>
                <w:szCs w:val="24"/>
                <w:rtl w:val="0"/>
              </w:rPr>
              <w:t xml:space="preserve">Datei:</w:t>
            </w:r>
          </w:p>
          <w:p w:rsidR="00000000" w:rsidDel="00000000" w:rsidP="00000000" w:rsidRDefault="00000000" w:rsidRPr="00000000" w14:paraId="0000001E">
            <w:pPr>
              <w:rPr>
                <w:sz w:val="24"/>
                <w:szCs w:val="24"/>
              </w:rPr>
            </w:pPr>
            <w:r w:rsidDel="00000000" w:rsidR="00000000" w:rsidRPr="00000000">
              <w:rPr>
                <w:sz w:val="24"/>
                <w:szCs w:val="24"/>
                <w:rtl w:val="0"/>
              </w:rPr>
              <w:t xml:space="preserve">Titel:</w:t>
            </w:r>
          </w:p>
          <w:p w:rsidR="00000000" w:rsidDel="00000000" w:rsidP="00000000" w:rsidRDefault="00000000" w:rsidRPr="00000000" w14:paraId="0000001F">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0">
            <w:pPr>
              <w:rPr>
                <w:sz w:val="24"/>
                <w:szCs w:val="24"/>
              </w:rPr>
            </w:pPr>
            <w:hyperlink r:id="rId9">
              <w:r w:rsidDel="00000000" w:rsidR="00000000" w:rsidRPr="00000000">
                <w:rPr>
                  <w:color w:val="1155cc"/>
                  <w:sz w:val="24"/>
                  <w:szCs w:val="24"/>
                  <w:u w:val="single"/>
                  <w:rtl w:val="0"/>
                </w:rPr>
                <w:t xml:space="preserve">tyresystem-team-altreifenentsorgung.jpg</w:t>
              </w:r>
            </w:hyperlink>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Benjamin Schembera und Matthias Wahlenmayer sind Experten im Pkw-Reifen-Bereich.</w:t>
            </w:r>
            <w:r w:rsidDel="00000000" w:rsidR="00000000" w:rsidRPr="00000000">
              <w:rPr>
                <w:rtl w:val="0"/>
              </w:rPr>
            </w:r>
          </w:p>
        </w:tc>
      </w:tr>
    </w:tbl>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sz w:val="28"/>
          <w:szCs w:val="28"/>
        </w:rPr>
      </w:pPr>
      <w:r w:rsidDel="00000000" w:rsidR="00000000" w:rsidRPr="00000000">
        <w:rPr>
          <w:rtl w:val="0"/>
        </w:rPr>
      </w:r>
    </w:p>
    <w:p w:rsidR="00000000" w:rsidDel="00000000" w:rsidP="00000000" w:rsidRDefault="00000000" w:rsidRPr="00000000" w14:paraId="00000025">
      <w:pPr>
        <w:rPr>
          <w:b w:val="1"/>
          <w:bCs w:val="1"/>
          <w:sz w:val="28"/>
          <w:szCs w:val="28"/>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29">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2A">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2B">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yresystem.de/static/Presse/Meldungen/2026-03-25-tyresystem-team-altreifenentsorgung.jpg"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