
<file path=[Content_Types].xml><?xml version="1.0" encoding="utf-8"?>
<Types xmlns="http://schemas.openxmlformats.org/package/2006/content-types">
  <Default ContentType="image/jpeg" Extension="jpg"/>
  <Default ContentType="image/gif" Extension="gif"/>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sz w:val="24"/>
          <w:szCs w:val="24"/>
        </w:rPr>
        <w:drawing>
          <wp:inline distB="19050" distT="19050" distL="19050" distR="19050">
            <wp:extent cx="1638300" cy="1533525"/>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638300" cy="1533525"/>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4495800</wp:posOffset>
            </wp:positionH>
            <wp:positionV relativeFrom="paragraph">
              <wp:posOffset>114300</wp:posOffset>
            </wp:positionV>
            <wp:extent cx="1490663" cy="509628"/>
            <wp:effectExtent b="0" l="0" r="0" t="0"/>
            <wp:wrapSquare wrapText="bothSides" distB="114300" distT="114300" distL="114300" distR="114300"/>
            <wp:docPr descr="tyresystem-logo-newsletter.gif" id="3" name="image1.gif"/>
            <a:graphic>
              <a:graphicData uri="http://schemas.openxmlformats.org/drawingml/2006/picture">
                <pic:pic>
                  <pic:nvPicPr>
                    <pic:cNvPr descr="tyresystem-logo-newsletter.gif" id="0" name="image1.gif"/>
                    <pic:cNvPicPr preferRelativeResize="0"/>
                  </pic:nvPicPr>
                  <pic:blipFill>
                    <a:blip r:embed="rId7"/>
                    <a:srcRect b="0" l="0" r="0" t="0"/>
                    <a:stretch>
                      <a:fillRect/>
                    </a:stretch>
                  </pic:blipFill>
                  <pic:spPr>
                    <a:xfrm>
                      <a:off x="0" y="0"/>
                      <a:ext cx="1490663" cy="509628"/>
                    </a:xfrm>
                    <a:prstGeom prst="rect"/>
                    <a:ln/>
                  </pic:spPr>
                </pic:pic>
              </a:graphicData>
            </a:graphic>
          </wp:anchor>
        </w:drawing>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St. Johann, den 09.03.2026</w:t>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b w:val="1"/>
          <w:bCs w:val="1"/>
          <w:sz w:val="26"/>
          <w:szCs w:val="26"/>
        </w:rPr>
      </w:pPr>
      <w:r w:rsidDel="00000000" w:rsidR="00000000" w:rsidRPr="00000000">
        <w:rPr>
          <w:b w:val="1"/>
          <w:bCs w:val="1"/>
          <w:sz w:val="26"/>
          <w:szCs w:val="26"/>
          <w:rtl w:val="0"/>
        </w:rPr>
        <w:t xml:space="preserve">RDKS – aber richtig! So nutzen Kunden alle Vorteile</w:t>
      </w:r>
    </w:p>
    <w:p w:rsidR="00000000" w:rsidDel="00000000" w:rsidP="00000000" w:rsidRDefault="00000000" w:rsidRPr="00000000" w14:paraId="00000006">
      <w:pPr>
        <w:rPr>
          <w:b w:val="1"/>
          <w:bCs w:val="1"/>
          <w:sz w:val="26"/>
          <w:szCs w:val="26"/>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Kleine Sensoren, große Wirkung: </w:t>
      </w:r>
      <w:r w:rsidDel="00000000" w:rsidR="00000000" w:rsidRPr="00000000">
        <w:rPr>
          <w:rtl w:val="0"/>
        </w:rPr>
        <w:t xml:space="preserve">Wenn sie korrekt programmiert und eingestellt sind, haben Reifendruckkontrollsysteme finanzielle und umwelttechnische Vorteile.</w:t>
      </w:r>
      <w:r w:rsidDel="00000000" w:rsidR="00000000" w:rsidRPr="00000000">
        <w:rPr>
          <w:rtl w:val="0"/>
        </w:rPr>
        <w:t xml:space="preserve"> Pkw, Wohnmobile und Geländewagen mit Erstzulassung ab dem 1. November 2014 unterliegen der RDKS-Pflicht und müssen daher mit einem entsprechenden System ausgestattet sein. Defekte RDKS gelten u.a. bei der Hauptuntersuchung (HU) als erheblicher Mangel: Funktioniert das System nicht, wird die HU-Plakette nicht ausgegeben. </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Der Wechsel von Winter- auf Sommerreifen ist eine gute Gelegenheit, vorhandene RDKS-Sensoren zu überprüfen und gegebenenfalls auszutauschen. Die bereits vorhandenen Sensoren sollten auf ihre Batterie überprüft werden, damit sie rechtzeitig </w:t>
      </w:r>
      <w:r w:rsidDel="00000000" w:rsidR="00000000" w:rsidRPr="00000000">
        <w:rPr>
          <w:rtl w:val="0"/>
        </w:rPr>
        <w:t xml:space="preserve">ersetzt</w:t>
      </w:r>
      <w:r w:rsidDel="00000000" w:rsidR="00000000" w:rsidRPr="00000000">
        <w:rPr>
          <w:rtl w:val="0"/>
        </w:rPr>
        <w:t xml:space="preserve"> werden.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b w:val="1"/>
          <w:bCs w:val="1"/>
          <w:rtl w:val="0"/>
        </w:rPr>
        <w:t xml:space="preserve">Mehr Sicherheit, weniger Spritkosten</w:t>
      </w:r>
    </w:p>
    <w:p w:rsidR="00000000" w:rsidDel="00000000" w:rsidP="00000000" w:rsidRDefault="00000000" w:rsidRPr="00000000" w14:paraId="0000000C">
      <w:pPr>
        <w:rPr/>
      </w:pPr>
      <w:r w:rsidDel="00000000" w:rsidR="00000000" w:rsidRPr="00000000">
        <w:rPr>
          <w:rtl w:val="0"/>
        </w:rPr>
        <w:t xml:space="preserve">Korrekt eingestellte und funktionierende RDKS erhöhen durch ein stabiles Fahrverhalten und einen kürzeren Bremsweg die Fahrsicherheit. Durch konstante Überprüfung des Reifendrucks ergibt sich eine längere Lebensdauer für die Reifen und die manuelle Überprüfung entfällt. Der ideale Luftdruck senkt den Kraftstoffverbrauch und </w:t>
      </w:r>
      <w:r w:rsidDel="00000000" w:rsidR="00000000" w:rsidRPr="00000000">
        <w:rPr>
          <w:rtl w:val="0"/>
        </w:rPr>
        <w:t xml:space="preserve">reduziert den CO2-Aussto</w:t>
      </w:r>
      <w:r w:rsidDel="00000000" w:rsidR="00000000" w:rsidRPr="00000000">
        <w:rPr>
          <w:rtl w:val="0"/>
        </w:rPr>
        <w:t xml:space="preserve">ß. Dadurch können Kosten reduziert und durchschnittlich bis zu </w:t>
      </w:r>
      <w:r w:rsidDel="00000000" w:rsidR="00000000" w:rsidRPr="00000000">
        <w:rPr>
          <w:rtl w:val="0"/>
        </w:rPr>
        <w:t xml:space="preserve">120 Euro  jährlich gespart werden.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b w:val="1"/>
          <w:bCs w:val="1"/>
          <w:rtl w:val="0"/>
        </w:rPr>
        <w:t xml:space="preserve">TyreSystem: Mehr als 500 RDKS-Sensoren im Sortiment</w:t>
      </w:r>
    </w:p>
    <w:p w:rsidR="00000000" w:rsidDel="00000000" w:rsidP="00000000" w:rsidRDefault="00000000" w:rsidRPr="00000000" w14:paraId="0000000F">
      <w:pPr>
        <w:rPr/>
      </w:pPr>
      <w:r w:rsidDel="00000000" w:rsidR="00000000" w:rsidRPr="00000000">
        <w:rPr>
          <w:rtl w:val="0"/>
        </w:rPr>
        <w:t xml:space="preserve">Beim Thema RDKS steht TyreSystem Kunden beratend zur Seite. Mit einem Sortiment von mehr als 500 verschiedenen RDKS-Sensoren hat der Onlinehändler das artikelstärkste Sortiment am Markt. Neben Sensoren werden Ventile, Starter- und Service-Kits, Diagnose- und Programmiergeräte sowie Zubehör und Software-Updates angeboten. Sensoren können über die Schlüsselnummer oder das Fahrzeug gesucht werden. Hilfreiche Funktionen und Module sowie umfangreiche Filterfunktionen unterstützen die einfache Suche auf </w:t>
      </w:r>
      <w:hyperlink r:id="rId8">
        <w:r w:rsidDel="00000000" w:rsidR="00000000" w:rsidRPr="00000000">
          <w:rPr>
            <w:color w:val="1155cc"/>
            <w:u w:val="single"/>
            <w:rtl w:val="0"/>
          </w:rPr>
          <w:t xml:space="preserve">www.tyresystem.de</w:t>
        </w:r>
      </w:hyperlink>
      <w:r w:rsidDel="00000000" w:rsidR="00000000" w:rsidRPr="00000000">
        <w:rPr>
          <w:rtl w:val="0"/>
        </w:rPr>
        <w:t xml:space="preserve">. Wie in allen Produktbereichen steht Kunden auch hier die </w:t>
      </w:r>
      <w:r w:rsidDel="00000000" w:rsidR="00000000" w:rsidRPr="00000000">
        <w:rPr>
          <w:rtl w:val="0"/>
        </w:rPr>
        <w:t xml:space="preserve">kostenlose Expertenberatung</w:t>
      </w:r>
      <w:r w:rsidDel="00000000" w:rsidR="00000000" w:rsidRPr="00000000">
        <w:rPr>
          <w:rtl w:val="0"/>
        </w:rPr>
        <w:t xml:space="preserve"> per Telefon oder E-Mail zur Verfügung. Zudem haben sie Zugriff auf Anlernverfahren, Fahrzeuganwendungen, Montageanleitungen und Produktvideos. </w:t>
      </w:r>
    </w:p>
    <w:p w:rsidR="00000000" w:rsidDel="00000000" w:rsidP="00000000" w:rsidRDefault="00000000" w:rsidRPr="00000000" w14:paraId="00000010">
      <w:pPr>
        <w:rPr>
          <w:b w:val="1"/>
          <w:bCs w:val="1"/>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b w:val="1"/>
          <w:bCs w:val="1"/>
          <w:rtl w:val="0"/>
        </w:rPr>
        <w:t xml:space="preserve">EvoSensor: Ein Sensor für alle Fälle</w:t>
      </w:r>
    </w:p>
    <w:p w:rsidR="00000000" w:rsidDel="00000000" w:rsidP="00000000" w:rsidRDefault="00000000" w:rsidRPr="00000000" w14:paraId="00000012">
      <w:pPr>
        <w:rPr/>
      </w:pPr>
      <w:r w:rsidDel="00000000" w:rsidR="00000000" w:rsidRPr="00000000">
        <w:rPr>
          <w:rtl w:val="0"/>
        </w:rPr>
        <w:t xml:space="preserve">Seit 2023 vertreibt TyreSystem die Marke EvoSensor. Die RDKS-Sensoren, hergestellt von Schrader, werden als Singleprotokoll, Multiprotokoll und Universalprotokoll in den Ventilfarben silber, grau und schwarz angeboten. Durch die Kombination verschiedener Farben und Protokolle sind bis zu 63 verschiedene Varianten des EvoSensors verfügbar. So werden alle nötigen Voraussetzungen eines Sensors für alle Fälle erfüllt.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bCs w:val="1"/>
        </w:rPr>
      </w:pPr>
      <w:r w:rsidDel="00000000" w:rsidR="00000000" w:rsidRPr="00000000">
        <w:rPr>
          <w:b w:val="1"/>
          <w:bCs w:val="1"/>
          <w:rtl w:val="0"/>
        </w:rPr>
        <w:t xml:space="preserve">Die Vorteile im Überblick:</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Der EvoSensor Single verhält sich wie ein OE Sensor, welcher nur noch am Fahrzeug angelernt werden muss.</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Der EvoSensor Uni lässt sich auf 99 Prozent aller Fahrzeuge programmieren und ist innerhalb von Sekunden kopierbar. </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Der EvoSensor Multi deckt mehrere Fahrzeuge herstellerübergreifend und ohne zusätzliches Programmieren ab.</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Die EvoSensoren sind mit allen Programmiergeräten von Ateq und Bartec kompatibel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Ziel ist es, mit dem EvoSensor möglichst alle Fahrzeugansprüche abzudecken und dabei die bestmögliche technische Leistung zu bieten. So wird der EvoSensor kontinuierlich an aktuelle Marktansprüche angepasst und mit den neuesten Automodellen und Übertragungstechnologien ausgestattet.</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b w:val="1"/>
          <w:bCs w:val="1"/>
          <w:rtl w:val="0"/>
        </w:rPr>
        <w:t xml:space="preserve">TyreSystem Akademie: RDKS-Schulungen on- und offline</w:t>
      </w:r>
    </w:p>
    <w:p w:rsidR="00000000" w:rsidDel="00000000" w:rsidP="00000000" w:rsidRDefault="00000000" w:rsidRPr="00000000" w14:paraId="0000001D">
      <w:pPr>
        <w:rPr/>
      </w:pPr>
      <w:r w:rsidDel="00000000" w:rsidR="00000000" w:rsidRPr="00000000">
        <w:rPr>
          <w:rtl w:val="0"/>
        </w:rPr>
        <w:t xml:space="preserve">Die RDKS-Schulungen der TyreSystem Akademie erfreuen sich seit jeher großer Beliebtheit. Dementsprechend gut besucht sind die Schulungen, die online und vor Ort stattfinden und Basiswissen mit der praktischen Anwendung von RDKS-Sensoren vereinen. Die Schulungen festigen und erweitern notwendiges Hintergrundwissen, welches im Anschluss vollumfänglich und argumentationssicher an den Kunden verkauft werden kann. Dieses wertvolle Wissen wird häufig nicht an Endkunden weitergegeben. Schulungsleiterin und RDKS Expertin Annika Ocker sensibilisiert Schulungsteilnehmer hierfür.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RDKS bietet Werkstätten ein erhebliches wirtschaftliches Potenzial, das oft nicht konsequent ausgeschöpft wird. In der Schulung werden Teilnehmer gezielt auf die Bedeutung einer transparenten und aktiven Kundenkommunikation rund um das Thema RDKS aufmerksam gemacht. Ergänzend bringt RSU Service GmbH-Werkstattleiter André Krah praxisnahe Beispiele aus dem Werkstattalltag ein und zeigt konkret auf, wie sich durch strukturierte Prozesse, fachkundige Beratung und den richtigen Sensoreinsatz zusätzliche Erträge generieren lassen.</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bCs w:val="1"/>
        </w:rPr>
      </w:pPr>
      <w:r w:rsidDel="00000000" w:rsidR="00000000" w:rsidRPr="00000000">
        <w:rPr>
          <w:b w:val="1"/>
          <w:bCs w:val="1"/>
          <w:rtl w:val="0"/>
        </w:rPr>
        <w:t xml:space="preserve">Schulungstermine 2026 im Überblick:</w:t>
      </w:r>
    </w:p>
    <w:p w:rsidR="00000000" w:rsidDel="00000000" w:rsidP="00000000" w:rsidRDefault="00000000" w:rsidRPr="00000000" w14:paraId="00000022">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Datum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Kursdauer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Status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Freitag, 27.03.2026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14:00 – 17:30 Uhr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online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freie Plätze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Freitag, 19.06.2026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pPr>
            <w:r w:rsidDel="00000000" w:rsidR="00000000" w:rsidRPr="00000000">
              <w:rPr>
                <w:rtl w:val="0"/>
              </w:rPr>
              <w:t xml:space="preserve">14:00 – 17:30 Uhr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online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freie Plätze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Samstag, 19.09.2026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pPr>
            <w:r w:rsidDel="00000000" w:rsidR="00000000" w:rsidRPr="00000000">
              <w:rPr>
                <w:rtl w:val="0"/>
              </w:rPr>
              <w:t xml:space="preserve">9:00 – 16:00 Uhr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72813 St. Johann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freie Plätze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Freitag, 04.12.2026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pPr>
            <w:r w:rsidDel="00000000" w:rsidR="00000000" w:rsidRPr="00000000">
              <w:rPr>
                <w:rtl w:val="0"/>
              </w:rPr>
              <w:t xml:space="preserve">14:00 – 17:30 Uhr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online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freie Plätze</w:t>
            </w:r>
          </w:p>
        </w:tc>
      </w:tr>
    </w:tbl>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Weitere Informationen und die Möglichkeit zur Anmeldung erhalten Interessenten unter </w:t>
      </w:r>
      <w:hyperlink r:id="rId9">
        <w:r w:rsidDel="00000000" w:rsidR="00000000" w:rsidRPr="00000000">
          <w:rPr>
            <w:color w:val="1155cc"/>
            <w:u w:val="single"/>
            <w:rtl w:val="0"/>
          </w:rPr>
          <w:t xml:space="preserve">www.tyresystem.de/akademie</w:t>
        </w:r>
      </w:hyperlink>
      <w:r w:rsidDel="00000000" w:rsidR="00000000" w:rsidRPr="00000000">
        <w:rPr>
          <w:rtl w:val="0"/>
        </w:rPr>
        <w:t xml:space="preserve">. Schulungstermine für das Jahr 2027 werden ab ca. April 2026 einsehbar sein.</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bCs w:val="1"/>
        </w:rPr>
      </w:pPr>
      <w:r w:rsidDel="00000000" w:rsidR="00000000" w:rsidRPr="00000000">
        <w:rPr>
          <w:b w:val="1"/>
          <w:bCs w:val="1"/>
          <w:rtl w:val="0"/>
        </w:rPr>
        <w:t xml:space="preserve">ÜBER TYRESYSTEM</w:t>
      </w:r>
    </w:p>
    <w:p w:rsidR="00000000" w:rsidDel="00000000" w:rsidP="00000000" w:rsidRDefault="00000000" w:rsidRPr="00000000" w14:paraId="0000003C">
      <w:pPr>
        <w:rPr>
          <w:b w:val="1"/>
          <w:bCs w:val="1"/>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Seit 2007 bietet das B2B-Onlineportal unter www.tyresystem.de seinen Kunden kostenlos eine der einfachsten Lösungen für den Online-Reifenhandel am Markt. Eine Vielzahl praktischer Funktionen und Module sowie Schnittstellen zu vielen Warenwirtschaftssystemen vereinfachen die tägliche Geschäftsabwicklungen von Reifenhändlern, Autohäusern, Kfz-Werkstätten und Transportunternehmen. </w:t>
      </w:r>
    </w:p>
    <w:p w:rsidR="00000000" w:rsidDel="00000000" w:rsidP="00000000" w:rsidRDefault="00000000" w:rsidRPr="00000000" w14:paraId="0000003E">
      <w:pPr>
        <w:rPr/>
      </w:pPr>
      <w:r w:rsidDel="00000000" w:rsidR="00000000" w:rsidRPr="00000000">
        <w:rPr>
          <w:rtl w:val="0"/>
        </w:rPr>
        <w:t xml:space="preserve">Mit der TyreSystem Akademie deckt TyreSystem seit Anfang 2023 auch den Bereich der Fort- und Weiterbildung ab. Das mittelständische, inhabergeführte Unternehmen mit derzeit 230 Mitarbeitenden wächst seit mehreren Jahren rasant und verfügt über zwei Standorte im schwäbischen St. Johann, drei Standorte in Ulm sowie je einen Sitz in Bretten, Laupheim, Schondra und Sottrum.</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bCs w:val="1"/>
          <w:sz w:val="28"/>
          <w:szCs w:val="28"/>
        </w:rPr>
      </w:pPr>
      <w:r w:rsidDel="00000000" w:rsidR="00000000" w:rsidRPr="00000000">
        <w:rPr>
          <w:b w:val="1"/>
          <w:bCs w:val="1"/>
          <w:sz w:val="28"/>
          <w:szCs w:val="28"/>
          <w:rtl w:val="0"/>
        </w:rPr>
        <w:t xml:space="preserve">Bildmaterial:</w:t>
      </w:r>
      <w:r w:rsidDel="00000000" w:rsidR="00000000" w:rsidRPr="00000000">
        <w:rPr>
          <w:rtl w:val="0"/>
        </w:rPr>
      </w:r>
    </w:p>
    <w:p w:rsidR="00000000" w:rsidDel="00000000" w:rsidP="00000000" w:rsidRDefault="00000000" w:rsidRPr="00000000" w14:paraId="00000042">
      <w:pPr>
        <w:rPr>
          <w:b w:val="1"/>
          <w:bCs w:val="1"/>
          <w:sz w:val="24"/>
          <w:szCs w:val="24"/>
        </w:rPr>
      </w:pPr>
      <w:r w:rsidDel="00000000" w:rsidR="00000000" w:rsidRPr="00000000">
        <w:rPr>
          <w:rtl w:val="0"/>
        </w:rPr>
      </w:r>
    </w:p>
    <w:tbl>
      <w:tblPr>
        <w:tblStyle w:val="Table2"/>
        <w:tblW w:w="88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490"/>
        <w:gridCol w:w="735"/>
        <w:gridCol w:w="5655"/>
        <w:tblGridChange w:id="0">
          <w:tblGrid>
            <w:gridCol w:w="2490"/>
            <w:gridCol w:w="735"/>
            <w:gridCol w:w="5655"/>
          </w:tblGrid>
        </w:tblGridChange>
      </w:tblGrid>
      <w:tr>
        <w:trPr>
          <w:cantSplit w:val="0"/>
          <w:trHeight w:val="3407.255859375"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3">
            <w:pPr>
              <w:rPr>
                <w:b w:val="1"/>
                <w:bCs w:val="1"/>
                <w:sz w:val="24"/>
                <w:szCs w:val="24"/>
              </w:rPr>
            </w:pPr>
            <w:r w:rsidDel="00000000" w:rsidR="00000000" w:rsidRPr="00000000">
              <w:rPr>
                <w:b w:val="1"/>
                <w:bCs w:val="1"/>
                <w:sz w:val="24"/>
                <w:szCs w:val="24"/>
              </w:rPr>
              <w:drawing>
                <wp:inline distB="114300" distT="114300" distL="114300" distR="114300">
                  <wp:extent cx="1571625" cy="1054100"/>
                  <wp:effectExtent b="0" l="0" r="0" t="0"/>
                  <wp:docPr id="4"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1571625" cy="1054100"/>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4">
            <w:pPr>
              <w:rPr>
                <w:sz w:val="24"/>
                <w:szCs w:val="24"/>
              </w:rPr>
            </w:pPr>
            <w:r w:rsidDel="00000000" w:rsidR="00000000" w:rsidRPr="00000000">
              <w:rPr>
                <w:sz w:val="24"/>
                <w:szCs w:val="24"/>
                <w:rtl w:val="0"/>
              </w:rPr>
              <w:t xml:space="preserve">Datei:</w:t>
            </w:r>
          </w:p>
          <w:p w:rsidR="00000000" w:rsidDel="00000000" w:rsidP="00000000" w:rsidRDefault="00000000" w:rsidRPr="00000000" w14:paraId="00000045">
            <w:pPr>
              <w:rPr>
                <w:sz w:val="24"/>
                <w:szCs w:val="24"/>
              </w:rPr>
            </w:pPr>
            <w:r w:rsidDel="00000000" w:rsidR="00000000" w:rsidRPr="00000000">
              <w:rPr>
                <w:sz w:val="24"/>
                <w:szCs w:val="24"/>
                <w:rtl w:val="0"/>
              </w:rPr>
              <w:t xml:space="preserve">Titel:</w:t>
            </w:r>
          </w:p>
          <w:p w:rsidR="00000000" w:rsidDel="00000000" w:rsidP="00000000" w:rsidRDefault="00000000" w:rsidRPr="00000000" w14:paraId="00000046">
            <w:pPr>
              <w:rPr>
                <w:sz w:val="24"/>
                <w:szCs w:val="24"/>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7">
            <w:pPr>
              <w:rPr>
                <w:sz w:val="24"/>
                <w:szCs w:val="24"/>
              </w:rPr>
            </w:pPr>
            <w:hyperlink r:id="rId11">
              <w:r w:rsidDel="00000000" w:rsidR="00000000" w:rsidRPr="00000000">
                <w:rPr>
                  <w:color w:val="1155cc"/>
                  <w:sz w:val="24"/>
                  <w:szCs w:val="24"/>
                  <w:u w:val="single"/>
                  <w:rtl w:val="0"/>
                </w:rPr>
                <w:t xml:space="preserve">rdks-schulungen-tyresystem.jpg</w:t>
              </w:r>
            </w:hyperlink>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sz w:val="24"/>
                <w:szCs w:val="24"/>
                <w:rtl w:val="0"/>
              </w:rPr>
              <w:t xml:space="preserve">Annika Ocker leitet die RDKS-Schulungen von TyreSystem. </w:t>
            </w:r>
          </w:p>
        </w:tc>
      </w:tr>
      <w:tr>
        <w:trPr>
          <w:cantSplit w:val="0"/>
          <w:trHeight w:val="3407.255859375"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9">
            <w:pPr>
              <w:rPr>
                <w:b w:val="1"/>
                <w:bCs w:val="1"/>
                <w:sz w:val="24"/>
                <w:szCs w:val="24"/>
              </w:rPr>
            </w:pPr>
            <w:r w:rsidDel="00000000" w:rsidR="00000000" w:rsidRPr="00000000">
              <w:rPr>
                <w:b w:val="1"/>
                <w:bCs w:val="1"/>
                <w:sz w:val="24"/>
                <w:szCs w:val="24"/>
              </w:rPr>
              <w:drawing>
                <wp:inline distB="114300" distT="114300" distL="114300" distR="114300">
                  <wp:extent cx="1571625" cy="1054100"/>
                  <wp:effectExtent b="0" l="0" r="0" t="0"/>
                  <wp:docPr id="2" name="image4.jpg"/>
                  <a:graphic>
                    <a:graphicData uri="http://schemas.openxmlformats.org/drawingml/2006/picture">
                      <pic:pic>
                        <pic:nvPicPr>
                          <pic:cNvPr id="0" name="image4.jpg"/>
                          <pic:cNvPicPr preferRelativeResize="0"/>
                        </pic:nvPicPr>
                        <pic:blipFill>
                          <a:blip r:embed="rId12"/>
                          <a:srcRect b="0" l="0" r="0" t="0"/>
                          <a:stretch>
                            <a:fillRect/>
                          </a:stretch>
                        </pic:blipFill>
                        <pic:spPr>
                          <a:xfrm>
                            <a:off x="0" y="0"/>
                            <a:ext cx="1571625" cy="1054100"/>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A">
            <w:pPr>
              <w:rPr>
                <w:sz w:val="24"/>
                <w:szCs w:val="24"/>
              </w:rPr>
            </w:pPr>
            <w:r w:rsidDel="00000000" w:rsidR="00000000" w:rsidRPr="00000000">
              <w:rPr>
                <w:sz w:val="24"/>
                <w:szCs w:val="24"/>
                <w:rtl w:val="0"/>
              </w:rPr>
              <w:t xml:space="preserve">Datei:</w:t>
            </w:r>
          </w:p>
          <w:p w:rsidR="00000000" w:rsidDel="00000000" w:rsidP="00000000" w:rsidRDefault="00000000" w:rsidRPr="00000000" w14:paraId="0000004B">
            <w:pPr>
              <w:rPr>
                <w:sz w:val="24"/>
                <w:szCs w:val="24"/>
              </w:rPr>
            </w:pPr>
            <w:r w:rsidDel="00000000" w:rsidR="00000000" w:rsidRPr="00000000">
              <w:rPr>
                <w:sz w:val="24"/>
                <w:szCs w:val="24"/>
                <w:rtl w:val="0"/>
              </w:rPr>
              <w:t xml:space="preserve">Titel:</w:t>
            </w:r>
          </w:p>
        </w:tc>
        <w:tc>
          <w:tcPr>
            <w:shd w:fill="auto" w:val="clear"/>
            <w:tcMar>
              <w:top w:w="0.0" w:type="dxa"/>
              <w:left w:w="0.0" w:type="dxa"/>
              <w:bottom w:w="0.0" w:type="dxa"/>
              <w:right w:w="0.0" w:type="dxa"/>
            </w:tcMar>
            <w:vAlign w:val="top"/>
          </w:tcPr>
          <w:p w:rsidR="00000000" w:rsidDel="00000000" w:rsidP="00000000" w:rsidRDefault="00000000" w:rsidRPr="00000000" w14:paraId="0000004C">
            <w:pPr>
              <w:rPr>
                <w:sz w:val="24"/>
                <w:szCs w:val="24"/>
              </w:rPr>
            </w:pPr>
            <w:hyperlink r:id="rId13">
              <w:r w:rsidDel="00000000" w:rsidR="00000000" w:rsidRPr="00000000">
                <w:rPr>
                  <w:color w:val="1155cc"/>
                  <w:sz w:val="24"/>
                  <w:szCs w:val="24"/>
                  <w:u w:val="single"/>
                  <w:rtl w:val="0"/>
                </w:rPr>
                <w:t xml:space="preserve">rdks-schulungen-annika-ocker.jpg</w:t>
              </w:r>
            </w:hyperlink>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sz w:val="24"/>
                <w:szCs w:val="24"/>
                <w:rtl w:val="0"/>
              </w:rPr>
              <w:t xml:space="preserve">Auch bei den PartnerDays 2026 war Annika Ocker vor Ort.</w:t>
            </w:r>
          </w:p>
        </w:tc>
      </w:tr>
    </w:tbl>
    <w:p w:rsidR="00000000" w:rsidDel="00000000" w:rsidP="00000000" w:rsidRDefault="00000000" w:rsidRPr="00000000" w14:paraId="0000004E">
      <w:pPr>
        <w:widowControl w:val="0"/>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b w:val="1"/>
          <w:bCs w:val="1"/>
          <w:sz w:val="28"/>
          <w:szCs w:val="28"/>
        </w:rPr>
      </w:pPr>
      <w:r w:rsidDel="00000000" w:rsidR="00000000" w:rsidRPr="00000000">
        <w:rPr>
          <w:rtl w:val="0"/>
        </w:rPr>
      </w:r>
    </w:p>
    <w:p w:rsidR="00000000" w:rsidDel="00000000" w:rsidP="00000000" w:rsidRDefault="00000000" w:rsidRPr="00000000" w14:paraId="00000051">
      <w:pPr>
        <w:rPr>
          <w:b w:val="1"/>
          <w:bCs w:val="1"/>
          <w:sz w:val="28"/>
          <w:szCs w:val="28"/>
        </w:rPr>
      </w:pPr>
      <w:r w:rsidDel="00000000" w:rsidR="00000000" w:rsidRPr="00000000">
        <w:rPr>
          <w:rtl w:val="0"/>
        </w:rPr>
      </w:r>
    </w:p>
    <w:p w:rsidR="00000000" w:rsidDel="00000000" w:rsidP="00000000" w:rsidRDefault="00000000" w:rsidRPr="00000000" w14:paraId="00000052">
      <w:pPr>
        <w:rPr>
          <w:b w:val="1"/>
          <w:bCs w:val="1"/>
          <w:sz w:val="24"/>
          <w:szCs w:val="24"/>
        </w:rPr>
      </w:pPr>
      <w:r w:rsidDel="00000000" w:rsidR="00000000" w:rsidRPr="00000000">
        <w:rPr>
          <w:b w:val="1"/>
          <w:bCs w:val="1"/>
          <w:sz w:val="28"/>
          <w:szCs w:val="28"/>
          <w:rtl w:val="0"/>
        </w:rPr>
        <w:t xml:space="preserve">Kontakt:</w:t>
      </w:r>
      <w:r w:rsidDel="00000000" w:rsidR="00000000" w:rsidRPr="00000000">
        <w:rPr>
          <w:rtl w:val="0"/>
        </w:rPr>
      </w:r>
    </w:p>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rPr>
          <w:b w:val="1"/>
          <w:bCs w:val="1"/>
          <w:sz w:val="24"/>
          <w:szCs w:val="24"/>
        </w:rPr>
      </w:pPr>
      <w:r w:rsidDel="00000000" w:rsidR="00000000" w:rsidRPr="00000000">
        <w:rPr>
          <w:b w:val="1"/>
          <w:bCs w:val="1"/>
          <w:sz w:val="24"/>
          <w:szCs w:val="24"/>
          <w:rtl w:val="0"/>
        </w:rPr>
        <w:t xml:space="preserve">Christine Kulgart</w:t>
      </w:r>
    </w:p>
    <w:p w:rsidR="00000000" w:rsidDel="00000000" w:rsidP="00000000" w:rsidRDefault="00000000" w:rsidRPr="00000000" w14:paraId="00000055">
      <w:pPr>
        <w:widowControl w:val="0"/>
        <w:ind w:right="-2680"/>
        <w:rPr>
          <w:sz w:val="24"/>
          <w:szCs w:val="24"/>
        </w:rPr>
      </w:pPr>
      <w:r w:rsidDel="00000000" w:rsidR="00000000" w:rsidRPr="00000000">
        <w:rPr>
          <w:sz w:val="24"/>
          <w:szCs w:val="24"/>
          <w:rtl w:val="0"/>
        </w:rPr>
        <w:t xml:space="preserve">Öffentlichkeitsarbeit &amp; Social Media</w:t>
      </w:r>
    </w:p>
    <w:p w:rsidR="00000000" w:rsidDel="00000000" w:rsidP="00000000" w:rsidRDefault="00000000" w:rsidRPr="00000000" w14:paraId="00000056">
      <w:pPr>
        <w:widowControl w:val="0"/>
        <w:ind w:right="-2680"/>
        <w:rPr>
          <w:sz w:val="24"/>
          <w:szCs w:val="24"/>
        </w:rPr>
      </w:pPr>
      <w:r w:rsidDel="00000000" w:rsidR="00000000" w:rsidRPr="00000000">
        <w:rPr>
          <w:sz w:val="24"/>
          <w:szCs w:val="24"/>
          <w:rtl w:val="0"/>
        </w:rPr>
        <w:t xml:space="preserve">Telefon: 07122 / 82593 -676</w:t>
      </w:r>
    </w:p>
    <w:p w:rsidR="00000000" w:rsidDel="00000000" w:rsidP="00000000" w:rsidRDefault="00000000" w:rsidRPr="00000000" w14:paraId="00000057">
      <w:pPr>
        <w:widowControl w:val="0"/>
        <w:ind w:right="-2680"/>
        <w:rPr/>
      </w:pPr>
      <w:r w:rsidDel="00000000" w:rsidR="00000000" w:rsidRPr="00000000">
        <w:rPr>
          <w:sz w:val="24"/>
          <w:szCs w:val="24"/>
          <w:rtl w:val="0"/>
        </w:rPr>
        <w:t xml:space="preserve">E-Mail: christine.kulgart@rsu.de </w:t>
      </w: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tyresystem.de/static/Presse/Meldungen/2026-03-09-tyresystem-annika-ocker1.jpg" TargetMode="External"/><Relationship Id="rId10" Type="http://schemas.openxmlformats.org/officeDocument/2006/relationships/image" Target="media/image3.jpg"/><Relationship Id="rId13" Type="http://schemas.openxmlformats.org/officeDocument/2006/relationships/hyperlink" Target="https://www.tyresystem.de/static/Presse/Meldungen/2026-03-09-tyresystem-annika-ocker2.jpg" TargetMode="External"/><Relationship Id="rId12" Type="http://schemas.openxmlformats.org/officeDocument/2006/relationships/image" Target="media/image4.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tyresystem.de/akademie"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gif"/><Relationship Id="rId8" Type="http://schemas.openxmlformats.org/officeDocument/2006/relationships/hyperlink" Target="http://www.tyresystem.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