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4"/>
          <w:szCs w:val="24"/>
        </w:rPr>
      </w:pPr>
      <w:r w:rsidDel="00000000" w:rsidR="00000000" w:rsidRPr="00000000">
        <w:rPr>
          <w:sz w:val="24"/>
          <w:szCs w:val="24"/>
        </w:rPr>
        <w:drawing>
          <wp:inline distB="19050" distT="19050" distL="19050" distR="19050">
            <wp:extent cx="1638300" cy="1533525"/>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4235775</wp:posOffset>
            </wp:positionH>
            <wp:positionV relativeFrom="paragraph">
              <wp:posOffset>114300</wp:posOffset>
            </wp:positionV>
            <wp:extent cx="1490663" cy="509628"/>
            <wp:effectExtent b="0" l="0" r="0" t="0"/>
            <wp:wrapSquare wrapText="bothSides" distB="114300" distT="114300" distL="114300" distR="114300"/>
            <wp:docPr descr="tyresystem-logo-newsletter.gif" id="1" name="image3.gif"/>
            <a:graphic>
              <a:graphicData uri="http://schemas.openxmlformats.org/drawingml/2006/picture">
                <pic:pic>
                  <pic:nvPicPr>
                    <pic:cNvPr descr="tyresystem-logo-newsletter.gif" id="0" name="image3.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St. Johann, den 23.10.2025</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TyreSystem Nutzfahrzeugsparte wächst weiter: Neue Marken, mehr Lager und Unterstützung in der US-Förderung</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Die Nutzfahrzeugsparte von TyreSystem bleibt weiter auf Erfolgskurs: Im Vergleich zum Vorjahr konnte der Absatz im bisherigen Jahresverlauf um bis zu zehn Prozent gesteigert werden. Durch den Zugriff auf mehr und größere Lager hat sich das Sortiment an Modellen und Herstellern deutlich erweitert – so kann TyreSystem jedem Kunden den passenden Reifen anbieten.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Trotz des starken Wachstums stehen Kundenbindung und die kostenlose, persönliche Expertenberatung weiterhin im Mittelpunkt – ein Service, der von Kunden besonders geschätzt wird.</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Förderprogramm „Umweltschutz &amp; Sicherheit“: TyreSystem unterstützt</w:t>
      </w:r>
    </w:p>
    <w:p w:rsidR="00000000" w:rsidDel="00000000" w:rsidP="00000000" w:rsidRDefault="00000000" w:rsidRPr="00000000" w14:paraId="0000000C">
      <w:pPr>
        <w:rPr/>
      </w:pPr>
      <w:r w:rsidDel="00000000" w:rsidR="00000000" w:rsidRPr="00000000">
        <w:rPr>
          <w:rtl w:val="0"/>
        </w:rPr>
        <w:t xml:space="preserve">Vom 4. August bis 1. September 2025 konnten Transportunternehmen mit förderfähigen Nutzfahrzeugen Anträge für das Förderprogramm „Umweltschutz und Sicherheit“ (ehemals De-minimis) einreichen. Die beantragten Maßnahmen müssen bis spätestens 31. Dezember 2025 umgesetzt werden.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TyreSystem unterstützt seine Kunden dabei mit praktischen Funktionen und Services: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Mit dem Filter „BALM-Förderung-US“ sehen Kunden auf einen Blick alle förderfähigen Lkw-Reifen.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Der kumulierte Fördersatz wird direkt am Artikel in Prozent angegeben.</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Über das Umweltschutz-&amp;-Sicherheit-Symbol (z. B. US 80 %) erkennen Kunden sofort, ob und in welcher Höhe ein Reifen staatlich gefördert wird.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Dank der persönlichen Expertenberatung finden Kunden schnell den passenden Reifen für ihre Anforderungen – und nutzen die maximale Förderung optimal aus.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Neue Kompletträder und Felgen für Lkw</w:t>
      </w:r>
    </w:p>
    <w:p w:rsidR="00000000" w:rsidDel="00000000" w:rsidP="00000000" w:rsidRDefault="00000000" w:rsidRPr="00000000" w14:paraId="00000016">
      <w:pPr>
        <w:rPr/>
      </w:pPr>
      <w:r w:rsidDel="00000000" w:rsidR="00000000" w:rsidRPr="00000000">
        <w:rPr>
          <w:rtl w:val="0"/>
        </w:rPr>
        <w:t xml:space="preserve">Ab sofort hat TyreSystem vorkonfektionierte Kompletträder für Lkw auf Lager, die fertig montiert an Kunden geliefert werden können.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Auch das Lkw-Felgen-Sortiment wurde weiter ausgebaut. Neben namhaften Herstellern wie Alcoa, Speedline, Accuride, Maxion und Talas führen wir unter anderem auch Marken wie NGW, Trailer Top, Athlete, SRW und Jantsa.</w:t>
      </w:r>
    </w:p>
    <w:p w:rsidR="00000000" w:rsidDel="00000000" w:rsidP="00000000" w:rsidRDefault="00000000" w:rsidRPr="00000000" w14:paraId="00000019">
      <w:pPr>
        <w:rPr/>
      </w:pPr>
      <w:r w:rsidDel="00000000" w:rsidR="00000000" w:rsidRPr="00000000">
        <w:rPr>
          <w:rtl w:val="0"/>
        </w:rPr>
        <w:t xml:space="preserve">„Mit der Erweiterung unserer Lagerkapazitäten schaffen wir die Basis für noch mehr Auswahl und Verfügbarkeit. So können wir zusätzliche Hersteller und Lieferanten ins Sortiment aufnehmen und unser Produktportfolio stetig erweitern – für noch mehr Vielfalt und Service für unsere Kunden“, erklärt Thomas Rederer, Produktmanager Nutzfahrzeug-Reifen.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TyreSystem positioniert sich damit weiterhin als leistungsstarker und wachsender Partner für Nutzfahrzeugkunden – von der Förderung bis zur Logistik.</w:t>
      </w:r>
    </w:p>
    <w:p w:rsidR="00000000" w:rsidDel="00000000" w:rsidP="00000000" w:rsidRDefault="00000000" w:rsidRPr="00000000" w14:paraId="0000001C">
      <w:pPr>
        <w:rPr>
          <w:b w:val="1"/>
          <w:sz w:val="26"/>
          <w:szCs w:val="26"/>
        </w:rPr>
      </w:pPr>
      <w:r w:rsidDel="00000000" w:rsidR="00000000" w:rsidRPr="00000000">
        <w:rPr>
          <w:rtl w:val="0"/>
        </w:rPr>
      </w:r>
    </w:p>
    <w:p w:rsidR="00000000" w:rsidDel="00000000" w:rsidP="00000000" w:rsidRDefault="00000000" w:rsidRPr="00000000" w14:paraId="0000001D">
      <w:pPr>
        <w:rPr>
          <w:b w:val="1"/>
          <w:sz w:val="26"/>
          <w:szCs w:val="2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ÜBER TYRESYSTEM</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23">
      <w:pPr>
        <w:rPr/>
      </w:pPr>
      <w:r w:rsidDel="00000000" w:rsidR="00000000" w:rsidRPr="00000000">
        <w:rPr>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und Sottrum.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Bildmaterial:</w:t>
      </w:r>
    </w:p>
    <w:p w:rsidR="00000000" w:rsidDel="00000000" w:rsidP="00000000" w:rsidRDefault="00000000" w:rsidRPr="00000000" w14:paraId="00000028">
      <w:pPr>
        <w:rPr>
          <w:b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9">
            <w:pPr>
              <w:rPr>
                <w:b w:val="1"/>
                <w:sz w:val="24"/>
                <w:szCs w:val="24"/>
              </w:rPr>
            </w:pPr>
            <w:r w:rsidDel="00000000" w:rsidR="00000000" w:rsidRPr="00000000">
              <w:rPr>
                <w:b w:val="1"/>
                <w:sz w:val="24"/>
                <w:szCs w:val="24"/>
              </w:rPr>
              <w:drawing>
                <wp:inline distB="114300" distT="114300" distL="114300" distR="114300">
                  <wp:extent cx="1571625" cy="110490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71625" cy="11049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rPr>
                <w:sz w:val="24"/>
                <w:szCs w:val="24"/>
              </w:rPr>
            </w:pPr>
            <w:r w:rsidDel="00000000" w:rsidR="00000000" w:rsidRPr="00000000">
              <w:rPr>
                <w:sz w:val="24"/>
                <w:szCs w:val="24"/>
                <w:rtl w:val="0"/>
              </w:rPr>
              <w:t xml:space="preserve">Datei:</w:t>
            </w:r>
          </w:p>
          <w:p w:rsidR="00000000" w:rsidDel="00000000" w:rsidP="00000000" w:rsidRDefault="00000000" w:rsidRPr="00000000" w14:paraId="0000002B">
            <w:pPr>
              <w:rPr>
                <w:sz w:val="24"/>
                <w:szCs w:val="24"/>
              </w:rPr>
            </w:pPr>
            <w:r w:rsidDel="00000000" w:rsidR="00000000" w:rsidRPr="00000000">
              <w:rPr>
                <w:sz w:val="24"/>
                <w:szCs w:val="24"/>
                <w:rtl w:val="0"/>
              </w:rPr>
              <w:t xml:space="preserve">Titel:</w:t>
            </w:r>
          </w:p>
          <w:p w:rsidR="00000000" w:rsidDel="00000000" w:rsidP="00000000" w:rsidRDefault="00000000" w:rsidRPr="00000000" w14:paraId="0000002C">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D">
            <w:pPr>
              <w:rPr>
                <w:sz w:val="24"/>
                <w:szCs w:val="24"/>
              </w:rPr>
            </w:pPr>
            <w:hyperlink r:id="rId9">
              <w:r w:rsidDel="00000000" w:rsidR="00000000" w:rsidRPr="00000000">
                <w:rPr>
                  <w:color w:val="1155cc"/>
                  <w:sz w:val="24"/>
                  <w:szCs w:val="24"/>
                  <w:u w:val="single"/>
                  <w:rtl w:val="0"/>
                </w:rPr>
                <w:t xml:space="preserve">tyresystem-nfz-herbst-2025.jpg</w:t>
              </w:r>
            </w:hyperlink>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Jochen Grabarits (Leitung Nfz-Sparte) und Thomas Rederer (Produktmanagement Nfz-Sparte) stehen den Kunden mit fachlicher Kompetenz zur Seite.</w:t>
            </w:r>
            <w:r w:rsidDel="00000000" w:rsidR="00000000" w:rsidRPr="00000000">
              <w:rPr>
                <w:rtl w:val="0"/>
              </w:rPr>
            </w:r>
          </w:p>
        </w:tc>
      </w:tr>
    </w:tbl>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sz w:val="28"/>
          <w:szCs w:val="28"/>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b w:val="1"/>
          <w:sz w:val="28"/>
          <w:szCs w:val="28"/>
          <w:rtl w:val="0"/>
        </w:rPr>
        <w:t xml:space="preserve">Kontakt:</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Christine Kulgart</w:t>
      </w:r>
    </w:p>
    <w:p w:rsidR="00000000" w:rsidDel="00000000" w:rsidP="00000000" w:rsidRDefault="00000000" w:rsidRPr="00000000" w14:paraId="00000036">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37">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38">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39">
      <w:pPr>
        <w:rPr>
          <w:b w:val="1"/>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yresystem.de/static/Presse/Meldungen/2025-10-23-tyresystem-lkw-herbst-25.jp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gif"/><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