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4400550</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St. Johann, den 14.05.2024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T</w:t>
      </w:r>
      <w:r w:rsidDel="00000000" w:rsidR="00000000" w:rsidRPr="00000000">
        <w:rPr>
          <w:b w:val="1"/>
          <w:sz w:val="26"/>
          <w:szCs w:val="26"/>
          <w:rtl w:val="0"/>
        </w:rPr>
        <w:t xml:space="preserve">yreSystem Akademie: Online-Hochvoltschulung hat noch freie Plätze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Die beliebte Online-Schulung „Hochvoltsysteme 1S Fachkunde“ hat für die Termine im Juni und Juli noch freie Plätze. Laut Arbeitsschutzgesetz ist die Schulung jährlich zu wiederholen.</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Die Arbeit an einem Elektro-Fahrzeug unterscheidet sich von der Arbeit an Verbrennern. Um an Hochvoltsystemen arbeiten zu dürfen, bedarf es einer entsprechenden Qualifizierung der Mitarbeitenden. Mangelnde Kenntnisse im Umgang mit Elektro-Fahrzeugen stellen ein erhöhtes Unfallrisiko dar. Für den Umgang mit Hochvoltsystemen braucht es deshalb Spezialkenntnisse, um Gefahren wie Stromschläge, Verbrennungen, Brandgefahren und Sekundärunfälle wie Stürze zu vermeiden.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Somit ist die „Hochvoltsysteme 1S Fachkunde“ Schulung unerlässlich für alle, die Arbeiten an den entsprechenden Fahrzeugen ausführen. Sie muss – anders als die „Hochvoltsysteme 2S Fachkunde“-Schulung, die alle drei bis vier Jahre aufgefrischt werden sollte – jährlich wiederholt werden. Das Zertifikat dürfen nicht elektrische Arbeiten wie z.B. Reifenwechsel oder Ölwechsel an Elektro-Fahrzeugen durchgeführt werden.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Die nächsten Online-Termine:</w:t>
      </w:r>
    </w:p>
    <w:p w:rsidR="00000000" w:rsidDel="00000000" w:rsidP="00000000" w:rsidRDefault="00000000" w:rsidRPr="00000000" w14:paraId="0000000F">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Freitag, 7. Juni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 bis 18 Uhr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freie Plätze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Freitag, 19. Juli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 bis 18 Uhr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freie Plätze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Freitag, 11. Dezember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16 bis 18 Uhr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freie Plätze</w:t>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wwww.tyresystem.de/akademie</w:t>
        </w:r>
      </w:hyperlink>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ÜBER TYRESYSTEM</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einen Sitz in Bretten.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23">
      <w:pPr>
        <w:rPr>
          <w:b w:val="1"/>
          <w:sz w:val="24"/>
          <w:szCs w:val="24"/>
        </w:rPr>
      </w:pPr>
      <w:r w:rsidDel="00000000" w:rsidR="00000000" w:rsidRPr="00000000">
        <w:rPr>
          <w:rtl w:val="0"/>
        </w:rPr>
      </w:r>
    </w:p>
    <w:tbl>
      <w:tblPr>
        <w:tblStyle w:val="Table2"/>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4">
            <w:pPr>
              <w:rPr>
                <w:b w:val="1"/>
                <w:sz w:val="24"/>
                <w:szCs w:val="24"/>
              </w:rPr>
            </w:pPr>
            <w:r w:rsidDel="00000000" w:rsidR="00000000" w:rsidRPr="00000000">
              <w:rPr>
                <w:b w:val="1"/>
                <w:sz w:val="24"/>
                <w:szCs w:val="24"/>
              </w:rPr>
              <w:drawing>
                <wp:inline distB="114300" distT="114300" distL="114300" distR="114300">
                  <wp:extent cx="1571625" cy="20955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20955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5">
            <w:pPr>
              <w:rPr>
                <w:sz w:val="24"/>
                <w:szCs w:val="24"/>
              </w:rPr>
            </w:pPr>
            <w:r w:rsidDel="00000000" w:rsidR="00000000" w:rsidRPr="00000000">
              <w:rPr>
                <w:sz w:val="24"/>
                <w:szCs w:val="24"/>
                <w:rtl w:val="0"/>
              </w:rPr>
              <w:t xml:space="preserve">Datei:</w:t>
            </w:r>
          </w:p>
          <w:p w:rsidR="00000000" w:rsidDel="00000000" w:rsidP="00000000" w:rsidRDefault="00000000" w:rsidRPr="00000000" w14:paraId="00000026">
            <w:pPr>
              <w:rPr>
                <w:sz w:val="24"/>
                <w:szCs w:val="24"/>
              </w:rPr>
            </w:pPr>
            <w:r w:rsidDel="00000000" w:rsidR="00000000" w:rsidRPr="00000000">
              <w:rPr>
                <w:sz w:val="24"/>
                <w:szCs w:val="24"/>
                <w:rtl w:val="0"/>
              </w:rPr>
              <w:t xml:space="preserve">Titel:</w:t>
            </w:r>
          </w:p>
          <w:p w:rsidR="00000000" w:rsidDel="00000000" w:rsidP="00000000" w:rsidRDefault="00000000" w:rsidRPr="00000000" w14:paraId="00000027">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8">
            <w:pPr>
              <w:rPr>
                <w:sz w:val="24"/>
                <w:szCs w:val="24"/>
              </w:rPr>
            </w:pPr>
            <w:hyperlink r:id="rId10">
              <w:r w:rsidDel="00000000" w:rsidR="00000000" w:rsidRPr="00000000">
                <w:rPr>
                  <w:color w:val="1155cc"/>
                  <w:sz w:val="24"/>
                  <w:szCs w:val="24"/>
                  <w:u w:val="single"/>
                  <w:rtl w:val="0"/>
                </w:rPr>
                <w:t xml:space="preserve">tyresystem-akademie-hochvolt.jpg</w:t>
              </w:r>
            </w:hyperlink>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Es gibt noch freie Plätze für die Online-Schulung zum Thema „Hochvolt“ der TyreSystem-Akademie.</w:t>
            </w:r>
          </w:p>
        </w:tc>
      </w:tr>
    </w:tbl>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F">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30">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31">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5-14-tyresystem-akademie-hochvolt.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wwww.tyresystem.de/akade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