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DBDE6" w14:textId="77777777" w:rsidR="00E67C0E" w:rsidRDefault="00E67C0E"/>
    <w:p w14:paraId="0E1B17C5" w14:textId="77777777" w:rsidR="00E67C0E" w:rsidRDefault="00E67C0E"/>
    <w:p w14:paraId="406B93BE" w14:textId="77777777" w:rsidR="00E67C0E" w:rsidRDefault="00EC42D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9050" distB="19050" distL="19050" distR="19050" wp14:anchorId="7AC9B2A5" wp14:editId="26D76891">
            <wp:extent cx="1638300" cy="1533525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533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30D349A2" wp14:editId="34BCA637">
            <wp:simplePos x="0" y="0"/>
            <wp:positionH relativeFrom="column">
              <wp:posOffset>3457575</wp:posOffset>
            </wp:positionH>
            <wp:positionV relativeFrom="paragraph">
              <wp:posOffset>123825</wp:posOffset>
            </wp:positionV>
            <wp:extent cx="2224088" cy="759074"/>
            <wp:effectExtent l="0" t="0" r="0" b="0"/>
            <wp:wrapSquare wrapText="bothSides" distT="114300" distB="114300" distL="114300" distR="114300"/>
            <wp:docPr id="1" name="image1.gif" descr="tyresystem-logo-newsletter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 descr="tyresystem-logo-newsletter.gif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4088" cy="7590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A0FBC2F" w14:textId="77777777" w:rsidR="00E67C0E" w:rsidRDefault="00E67C0E">
      <w:pPr>
        <w:widowControl w:val="0"/>
        <w:rPr>
          <w:sz w:val="24"/>
          <w:szCs w:val="24"/>
        </w:rPr>
      </w:pPr>
    </w:p>
    <w:p w14:paraId="48B340F3" w14:textId="77777777" w:rsidR="00E67C0E" w:rsidRDefault="00EC42DE">
      <w:pPr>
        <w:widowControl w:val="0"/>
        <w:rPr>
          <w:sz w:val="24"/>
          <w:szCs w:val="24"/>
        </w:rPr>
      </w:pPr>
      <w:r>
        <w:rPr>
          <w:sz w:val="24"/>
          <w:szCs w:val="24"/>
        </w:rPr>
        <w:t>St. Johann, 21.09.2021</w:t>
      </w:r>
    </w:p>
    <w:p w14:paraId="1FCF7715" w14:textId="77777777" w:rsidR="00E67C0E" w:rsidRDefault="00E67C0E">
      <w:pPr>
        <w:rPr>
          <w:sz w:val="20"/>
          <w:szCs w:val="20"/>
          <w:u w:val="single"/>
        </w:rPr>
      </w:pPr>
    </w:p>
    <w:p w14:paraId="75181B12" w14:textId="77777777" w:rsidR="00E67C0E" w:rsidRDefault="00EC42DE">
      <w:pPr>
        <w:rPr>
          <w:sz w:val="24"/>
          <w:szCs w:val="24"/>
        </w:rPr>
      </w:pPr>
      <w:r>
        <w:rPr>
          <w:b/>
          <w:sz w:val="30"/>
          <w:szCs w:val="30"/>
        </w:rPr>
        <w:t>Neue RDKS-Bevorratungsaktion von TyreSystem: Cashback-Prämie und kostenlose Rückgabe</w:t>
      </w:r>
    </w:p>
    <w:p w14:paraId="38D37574" w14:textId="77777777" w:rsidR="00E67C0E" w:rsidRDefault="00E67C0E">
      <w:pPr>
        <w:rPr>
          <w:sz w:val="24"/>
          <w:szCs w:val="24"/>
        </w:rPr>
      </w:pPr>
    </w:p>
    <w:p w14:paraId="234DBCFB" w14:textId="370627FE" w:rsidR="00E67C0E" w:rsidRDefault="00EC42DE">
      <w:pPr>
        <w:rPr>
          <w:sz w:val="24"/>
          <w:szCs w:val="24"/>
        </w:rPr>
      </w:pPr>
      <w:r>
        <w:rPr>
          <w:sz w:val="24"/>
          <w:szCs w:val="24"/>
        </w:rPr>
        <w:t>Viele Sensoren müssen seit der RDKS-Pflicht bei Neuwagen im Jahr 2014 nun aufgrund der Batterielaufzeit ausgetauscht werden. Für Reifenfachhändler, Kfz-Betriebe und Autohäuser bietet der Online-Großhändler TyreSystem jetzt eine neue RDKS-Bevorratungsaktion</w:t>
      </w:r>
      <w:r>
        <w:rPr>
          <w:sz w:val="24"/>
          <w:szCs w:val="24"/>
        </w:rPr>
        <w:t xml:space="preserve"> an. Wer bis zum 31.10.2021 mindestens 50 beziehungsweise 100 Sensoren in den Warenkorb legt und bestellt, bekommt anschließend eine Cashback-Prämie gutgeschrieben. Gleichzeitig profitiert der Kunde von einer kostenlosen Rückgabe nicht verwendeter Sensoren</w:t>
      </w:r>
      <w:r>
        <w:rPr>
          <w:sz w:val="24"/>
          <w:szCs w:val="24"/>
        </w:rPr>
        <w:t xml:space="preserve"> aus dem Aktionszeitraum und hält so seine Sensorenbevorratung </w:t>
      </w:r>
      <w:r>
        <w:rPr>
          <w:sz w:val="24"/>
          <w:szCs w:val="24"/>
        </w:rPr>
        <w:t>flexibel.</w:t>
      </w:r>
    </w:p>
    <w:p w14:paraId="7857BADA" w14:textId="77777777" w:rsidR="00E67C0E" w:rsidRDefault="00E67C0E">
      <w:pPr>
        <w:rPr>
          <w:sz w:val="24"/>
          <w:szCs w:val="24"/>
        </w:rPr>
      </w:pPr>
    </w:p>
    <w:p w14:paraId="58A83CF2" w14:textId="77777777" w:rsidR="00E67C0E" w:rsidRDefault="00EC42DE">
      <w:pPr>
        <w:rPr>
          <w:sz w:val="24"/>
          <w:szCs w:val="24"/>
        </w:rPr>
      </w:pPr>
      <w:r>
        <w:rPr>
          <w:sz w:val="24"/>
          <w:szCs w:val="24"/>
        </w:rPr>
        <w:t>Die Höhe der Prämie hängt dabei von der Anzahl an bestellten Sensoren pro Bestellung ab. Ab 50 Sensoren bekommt der Kunde drei Prozent des Gesamteinkaufspreises gutgeschriebe</w:t>
      </w:r>
      <w:r>
        <w:rPr>
          <w:sz w:val="24"/>
          <w:szCs w:val="24"/>
        </w:rPr>
        <w:t>n. Ab 100 Sensoren erhöht sich die Gutschrift auf sechs Prozent Cashback-Prämie. Bei der Bestellung können unterschiedliche Marken und Modelle frei kombiniert werden. Alle nicht benötigten Sensoren werden auf Wunsch bis zum 15.12.2021 kostenlos abgeholt un</w:t>
      </w:r>
      <w:r>
        <w:rPr>
          <w:sz w:val="24"/>
          <w:szCs w:val="24"/>
        </w:rPr>
        <w:t>d ohne Abzug einer Wiedereinlagerungsgebühr komplett gutgeschrieben.</w:t>
      </w:r>
    </w:p>
    <w:p w14:paraId="49370494" w14:textId="77777777" w:rsidR="00E67C0E" w:rsidRDefault="00E67C0E">
      <w:pPr>
        <w:rPr>
          <w:sz w:val="24"/>
          <w:szCs w:val="24"/>
        </w:rPr>
      </w:pPr>
    </w:p>
    <w:p w14:paraId="5EB7747C" w14:textId="77777777" w:rsidR="00E67C0E" w:rsidRDefault="00EC42DE">
      <w:pPr>
        <w:rPr>
          <w:sz w:val="24"/>
          <w:szCs w:val="24"/>
        </w:rPr>
      </w:pPr>
      <w:r>
        <w:rPr>
          <w:sz w:val="24"/>
          <w:szCs w:val="24"/>
        </w:rPr>
        <w:t>Mehr Informationen finden Interessierte unter: https://www.tyresystem.de/neuigkeiten/2021/rdks-bevorratungsaktion-herbst-2021</w:t>
      </w:r>
    </w:p>
    <w:p w14:paraId="3EFCA744" w14:textId="77777777" w:rsidR="00E67C0E" w:rsidRDefault="00E67C0E">
      <w:pPr>
        <w:rPr>
          <w:sz w:val="24"/>
          <w:szCs w:val="24"/>
        </w:rPr>
      </w:pPr>
    </w:p>
    <w:p w14:paraId="7DA9BCF5" w14:textId="77777777" w:rsidR="00E67C0E" w:rsidRDefault="00E67C0E">
      <w:pPr>
        <w:rPr>
          <w:sz w:val="24"/>
          <w:szCs w:val="24"/>
        </w:rPr>
      </w:pPr>
    </w:p>
    <w:p w14:paraId="73C2FA5D" w14:textId="77777777" w:rsidR="00E67C0E" w:rsidRDefault="00EC42DE">
      <w:pPr>
        <w:rPr>
          <w:b/>
          <w:sz w:val="24"/>
          <w:szCs w:val="24"/>
        </w:rPr>
      </w:pPr>
      <w:r>
        <w:rPr>
          <w:b/>
          <w:sz w:val="24"/>
          <w:szCs w:val="24"/>
        </w:rPr>
        <w:t>Bildmaterial:</w:t>
      </w:r>
    </w:p>
    <w:p w14:paraId="1A0BA944" w14:textId="77777777" w:rsidR="00E67C0E" w:rsidRDefault="00E67C0E">
      <w:pPr>
        <w:rPr>
          <w:b/>
          <w:sz w:val="24"/>
          <w:szCs w:val="24"/>
        </w:rPr>
      </w:pPr>
    </w:p>
    <w:tbl>
      <w:tblPr>
        <w:tblStyle w:val="a"/>
        <w:tblW w:w="88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60"/>
        <w:gridCol w:w="705"/>
        <w:gridCol w:w="5715"/>
      </w:tblGrid>
      <w:tr w:rsidR="00E67C0E" w14:paraId="36F763A7" w14:textId="77777777">
        <w:trPr>
          <w:trHeight w:val="420"/>
        </w:trPr>
        <w:tc>
          <w:tcPr>
            <w:tcW w:w="24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94356" w14:textId="77777777" w:rsidR="00E67C0E" w:rsidRDefault="00EC42DE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114300" distB="114300" distL="114300" distR="114300" wp14:anchorId="44416811" wp14:editId="1C423715">
                  <wp:extent cx="1552575" cy="774700"/>
                  <wp:effectExtent l="0" t="0" r="0" b="0"/>
                  <wp:docPr id="3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774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90577" w14:textId="77777777" w:rsidR="00E67C0E" w:rsidRDefault="00EC4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Datei: </w:t>
            </w:r>
          </w:p>
          <w:p w14:paraId="7563B484" w14:textId="77777777" w:rsidR="00E67C0E" w:rsidRDefault="00EC4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Titel: </w:t>
            </w:r>
          </w:p>
        </w:tc>
        <w:tc>
          <w:tcPr>
            <w:tcW w:w="57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129C3" w14:textId="77777777" w:rsidR="00E67C0E" w:rsidRDefault="00EC4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2021-09-21_tyreystem-rdks</w:t>
            </w:r>
            <w:r>
              <w:rPr>
                <w:sz w:val="24"/>
                <w:szCs w:val="24"/>
              </w:rPr>
              <w:t>-bevorratung.jpg</w:t>
            </w:r>
          </w:p>
          <w:p w14:paraId="667BD06A" w14:textId="77777777" w:rsidR="00E67C0E" w:rsidRDefault="00EC4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RDKS-Bevorratungsaktion von TyreSystem</w:t>
            </w:r>
          </w:p>
        </w:tc>
      </w:tr>
    </w:tbl>
    <w:p w14:paraId="4BB6BBC8" w14:textId="77777777" w:rsidR="00E67C0E" w:rsidRDefault="00E67C0E">
      <w:pPr>
        <w:widowControl w:val="0"/>
        <w:rPr>
          <w:sz w:val="24"/>
          <w:szCs w:val="24"/>
        </w:rPr>
      </w:pPr>
    </w:p>
    <w:p w14:paraId="3C4ED7C0" w14:textId="77777777" w:rsidR="00E67C0E" w:rsidRDefault="00EC42DE">
      <w:pPr>
        <w:widowContro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. . . . . . . . . . . . . . . . . . . . . . . . . . . . . . . . . . . . . . . . . . . . . . . . . . . . . . . . . </w:t>
      </w:r>
    </w:p>
    <w:p w14:paraId="37B7B066" w14:textId="77777777" w:rsidR="00E67C0E" w:rsidRDefault="00E67C0E">
      <w:pPr>
        <w:rPr>
          <w:sz w:val="24"/>
          <w:szCs w:val="24"/>
        </w:rPr>
      </w:pPr>
    </w:p>
    <w:p w14:paraId="1CF7161E" w14:textId="77777777" w:rsidR="00E67C0E" w:rsidRDefault="00EC42DE">
      <w:pPr>
        <w:rPr>
          <w:b/>
          <w:sz w:val="24"/>
          <w:szCs w:val="24"/>
        </w:rPr>
      </w:pPr>
      <w:r>
        <w:rPr>
          <w:b/>
          <w:sz w:val="24"/>
          <w:szCs w:val="24"/>
        </w:rPr>
        <w:t>Über TyreSystem</w:t>
      </w:r>
    </w:p>
    <w:p w14:paraId="4E18474D" w14:textId="77777777" w:rsidR="00E67C0E" w:rsidRDefault="00E67C0E">
      <w:pPr>
        <w:widowControl w:val="0"/>
        <w:rPr>
          <w:sz w:val="24"/>
          <w:szCs w:val="24"/>
        </w:rPr>
      </w:pPr>
    </w:p>
    <w:p w14:paraId="14743CFA" w14:textId="77777777" w:rsidR="00E67C0E" w:rsidRDefault="00EC42DE">
      <w:pPr>
        <w:rPr>
          <w:sz w:val="24"/>
          <w:szCs w:val="24"/>
        </w:rPr>
      </w:pPr>
      <w:r>
        <w:rPr>
          <w:sz w:val="24"/>
          <w:szCs w:val="24"/>
        </w:rPr>
        <w:t>Seit 2007 bietet das B2B-Onlineportal unter www.tyresystem.de seinen Kunden kostenlos eine der einfachsten Lösungen für den</w:t>
      </w:r>
      <w:r>
        <w:rPr>
          <w:sz w:val="24"/>
          <w:szCs w:val="24"/>
        </w:rPr>
        <w:t xml:space="preserve"> Online-Reifenhandel am Markt. Eine Vielzahl praktischer Funktionen und Module sowie Schnittstellen zu vielen Warenwirtschaftssystemen vereinfachen die tägliche Geschäftsabwicklungen von Reifenhändlern, Autohäusern, Kfz-Werkstätten und Transportunternehmen</w:t>
      </w:r>
      <w:r>
        <w:rPr>
          <w:sz w:val="24"/>
          <w:szCs w:val="24"/>
        </w:rPr>
        <w:t>. Das mittelständische, inhabergeführte Unternehmen mit derzeit 150 Mitarbeitern wächst seit mehreren Jahren rasant und verfügt über jeweils zwei Standorte im schwäbischen St. Johann und Ulm sowie einen Sitz in Bretten.</w:t>
      </w:r>
    </w:p>
    <w:p w14:paraId="4A53FACB" w14:textId="77777777" w:rsidR="00E67C0E" w:rsidRDefault="00EC42DE">
      <w:pPr>
        <w:rPr>
          <w:sz w:val="24"/>
          <w:szCs w:val="24"/>
        </w:rPr>
      </w:pPr>
      <w:r>
        <w:rPr>
          <w:sz w:val="24"/>
          <w:szCs w:val="24"/>
        </w:rPr>
        <w:t xml:space="preserve">. . . . . . . . . . . . . . . . . . </w:t>
      </w:r>
      <w:r>
        <w:rPr>
          <w:sz w:val="24"/>
          <w:szCs w:val="24"/>
        </w:rPr>
        <w:t xml:space="preserve">. . . . . . . . . . . . . . . . . . . . . . . . . . . . . . . . . . . . . . . </w:t>
      </w:r>
    </w:p>
    <w:p w14:paraId="12C90B86" w14:textId="77777777" w:rsidR="00E67C0E" w:rsidRDefault="00E67C0E">
      <w:pPr>
        <w:rPr>
          <w:b/>
          <w:sz w:val="24"/>
          <w:szCs w:val="24"/>
        </w:rPr>
      </w:pPr>
    </w:p>
    <w:p w14:paraId="45CBDBFC" w14:textId="77777777" w:rsidR="00E67C0E" w:rsidRDefault="00EC42DE">
      <w:pPr>
        <w:rPr>
          <w:b/>
          <w:sz w:val="24"/>
          <w:szCs w:val="24"/>
        </w:rPr>
      </w:pPr>
      <w:r>
        <w:rPr>
          <w:b/>
          <w:sz w:val="24"/>
          <w:szCs w:val="24"/>
        </w:rPr>
        <w:t>Kontakt:</w:t>
      </w:r>
    </w:p>
    <w:p w14:paraId="38C33740" w14:textId="77777777" w:rsidR="00E67C0E" w:rsidRDefault="00E67C0E">
      <w:pPr>
        <w:rPr>
          <w:sz w:val="24"/>
          <w:szCs w:val="24"/>
        </w:rPr>
      </w:pPr>
    </w:p>
    <w:p w14:paraId="342B70E3" w14:textId="77777777" w:rsidR="00E67C0E" w:rsidRDefault="00EC42DE">
      <w:pPr>
        <w:widowControl w:val="0"/>
        <w:ind w:right="-2680"/>
        <w:rPr>
          <w:sz w:val="24"/>
          <w:szCs w:val="24"/>
        </w:rPr>
      </w:pPr>
      <w:r>
        <w:rPr>
          <w:b/>
          <w:sz w:val="24"/>
          <w:szCs w:val="24"/>
        </w:rPr>
        <w:t>Rebecca Rohmeder</w:t>
      </w:r>
    </w:p>
    <w:p w14:paraId="019677C1" w14:textId="77777777" w:rsidR="00E67C0E" w:rsidRDefault="00EC42DE">
      <w:pPr>
        <w:widowControl w:val="0"/>
        <w:ind w:right="-2680"/>
        <w:rPr>
          <w:sz w:val="24"/>
          <w:szCs w:val="24"/>
        </w:rPr>
      </w:pPr>
      <w:r>
        <w:rPr>
          <w:sz w:val="24"/>
          <w:szCs w:val="24"/>
        </w:rPr>
        <w:t>Öffentlichkeitsarbeit &amp; Social Media</w:t>
      </w:r>
    </w:p>
    <w:p w14:paraId="047CDEF0" w14:textId="77777777" w:rsidR="00E67C0E" w:rsidRDefault="00EC42DE">
      <w:pPr>
        <w:widowControl w:val="0"/>
        <w:ind w:right="-2680"/>
        <w:rPr>
          <w:sz w:val="24"/>
          <w:szCs w:val="24"/>
        </w:rPr>
      </w:pPr>
      <w:r>
        <w:rPr>
          <w:sz w:val="24"/>
          <w:szCs w:val="24"/>
        </w:rPr>
        <w:t>Telefon: 07122 / 82593 -611</w:t>
      </w:r>
    </w:p>
    <w:p w14:paraId="45815D07" w14:textId="77777777" w:rsidR="00E67C0E" w:rsidRDefault="00EC42DE">
      <w:pPr>
        <w:widowControl w:val="0"/>
        <w:ind w:right="-2680"/>
        <w:rPr>
          <w:sz w:val="24"/>
          <w:szCs w:val="24"/>
        </w:rPr>
      </w:pPr>
      <w:r>
        <w:rPr>
          <w:sz w:val="24"/>
          <w:szCs w:val="24"/>
        </w:rPr>
        <w:t>E-Mail:</w:t>
      </w:r>
      <w:hyperlink r:id="rId7">
        <w:r>
          <w:rPr>
            <w:color w:val="1155CC"/>
            <w:sz w:val="24"/>
            <w:szCs w:val="24"/>
            <w:u w:val="single"/>
          </w:rPr>
          <w:t xml:space="preserve"> rebecca.rohmeder@rsu.de</w:t>
        </w:r>
      </w:hyperlink>
    </w:p>
    <w:p w14:paraId="0EDAB197" w14:textId="77777777" w:rsidR="00E67C0E" w:rsidRDefault="00E67C0E"/>
    <w:p w14:paraId="76DBB27D" w14:textId="77777777" w:rsidR="00E67C0E" w:rsidRDefault="00E67C0E"/>
    <w:p w14:paraId="655B4DEF" w14:textId="77777777" w:rsidR="00E67C0E" w:rsidRDefault="00E67C0E"/>
    <w:sectPr w:rsidR="00E67C0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C0E"/>
    <w:rsid w:val="00E67C0E"/>
    <w:rsid w:val="00EC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07AEC8"/>
  <w15:docId w15:val="{E891DE19-F004-CC48-8D6A-D9C83BA46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ebecca.rohmeder@rsu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gif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2133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Rebecca Rohmeder</cp:lastModifiedBy>
  <cp:revision>2</cp:revision>
  <dcterms:created xsi:type="dcterms:W3CDTF">2021-09-21T07:40:00Z</dcterms:created>
  <dcterms:modified xsi:type="dcterms:W3CDTF">2021-09-21T07:40:00Z</dcterms:modified>
</cp:coreProperties>
</file>