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17.06.2021</w:t>
      </w:r>
    </w:p>
    <w:p w:rsidR="00000000" w:rsidDel="00000000" w:rsidP="00000000" w:rsidRDefault="00000000" w:rsidRPr="00000000" w14:paraId="00000006">
      <w:pPr>
        <w:rPr>
          <w:sz w:val="20"/>
          <w:szCs w:val="20"/>
          <w:u w:val="single"/>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TyreSystem: Markenneutraler Bevorratungsreport für Winter- und Ganzjahresreifen ist verfügbar</w:t>
      </w:r>
    </w:p>
    <w:p w:rsidR="00000000" w:rsidDel="00000000" w:rsidP="00000000" w:rsidRDefault="00000000" w:rsidRPr="00000000" w14:paraId="00000009">
      <w:pPr>
        <w:rPr>
          <w:b w:val="1"/>
          <w:sz w:val="30"/>
          <w:szCs w:val="30"/>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Welche Reifenmarken und -größen sind beim Endkunden gefragt? Geht der Trend zu Winter- oder Ganzjahresreifenprofilen? Diese und weitere Fragen beantwortet der Online-Großhändler TyreSystem in seinem kürzlich </w:t>
      </w:r>
      <w:r w:rsidDel="00000000" w:rsidR="00000000" w:rsidRPr="00000000">
        <w:rPr>
          <w:b w:val="1"/>
          <w:sz w:val="24"/>
          <w:szCs w:val="24"/>
          <w:rtl w:val="0"/>
        </w:rPr>
        <w:t xml:space="preserve">ersch</w:t>
      </w:r>
      <w:r w:rsidDel="00000000" w:rsidR="00000000" w:rsidRPr="00000000">
        <w:rPr>
          <w:b w:val="1"/>
          <w:sz w:val="24"/>
          <w:szCs w:val="24"/>
          <w:rtl w:val="0"/>
        </w:rPr>
        <w:t xml:space="preserve">ienenen Bevorratungsreport. Mit dem markenneutralen Reifenratgeber unterstützt TyreSystem Kfz-Betriebe, Autohäuser und Reifenhändler in ihrer Reifendisposition und ist dabei auch ein nützlicher Trend-Wegweiser. Unter </w:t>
      </w:r>
      <w:r w:rsidDel="00000000" w:rsidR="00000000" w:rsidRPr="00000000">
        <w:rPr>
          <w:b w:val="1"/>
          <w:sz w:val="24"/>
          <w:szCs w:val="24"/>
          <w:rtl w:val="0"/>
        </w:rPr>
        <w:t xml:space="preserve">https://www.tyresystem.de/neuigkeiten/2021/bevorratungsreport-winterreifen</w:t>
      </w:r>
      <w:r w:rsidDel="00000000" w:rsidR="00000000" w:rsidRPr="00000000">
        <w:rPr>
          <w:b w:val="1"/>
          <w:sz w:val="24"/>
          <w:szCs w:val="24"/>
          <w:rtl w:val="0"/>
        </w:rPr>
        <w:t xml:space="preserve"> können sich Interessierte die aktuelle Ausgabe zur kommenden Winterreifen-Saison kostenfrei herunterladen.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Im ersten Teil informiert TyreSystem darüber, wie sich die Nachfrage bestimmter Zollgrößen und Reifenqualitäten von 2017 bis 2020 entwickelt hat und ob der Trend zu Ganzjahresreifen weiterhin gegeben ist. Im </w:t>
      </w:r>
      <w:r w:rsidDel="00000000" w:rsidR="00000000" w:rsidRPr="00000000">
        <w:rPr>
          <w:sz w:val="24"/>
          <w:szCs w:val="24"/>
          <w:rtl w:val="0"/>
        </w:rPr>
        <w:t xml:space="preserve">zweiten und umfangreichsten Teil lässt sich herauslesen, welche Reifengrößen im Bereich Winter- und Ganzjahresreifen am gefragtesten sind. Dabei unterscheidet TyreSystem zwischen Pkw-, Transporter- und Offroadreifen. Als Basis dienen die Verkaufszahlen der RSU GmbH.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9">
      <w:pPr>
        <w:rPr>
          <w:b w:val="1"/>
          <w:sz w:val="24"/>
          <w:szCs w:val="24"/>
        </w:rPr>
      </w:pPr>
      <w:r w:rsidDel="00000000" w:rsidR="00000000" w:rsidRPr="00000000">
        <w:rPr>
          <w:rtl w:val="0"/>
        </w:rPr>
      </w:r>
    </w:p>
    <w:tbl>
      <w:tblPr>
        <w:tblStyle w:val="Table1"/>
        <w:tblW w:w="88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5715"/>
        <w:tblGridChange w:id="0">
          <w:tblGrid>
            <w:gridCol w:w="2460"/>
            <w:gridCol w:w="705"/>
            <w:gridCol w:w="5715"/>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A">
            <w:pPr>
              <w:rPr>
                <w:b w:val="1"/>
                <w:sz w:val="24"/>
                <w:szCs w:val="24"/>
              </w:rPr>
            </w:pPr>
            <w:r w:rsidDel="00000000" w:rsidR="00000000" w:rsidRPr="00000000">
              <w:rPr>
                <w:b w:val="1"/>
                <w:sz w:val="24"/>
                <w:szCs w:val="24"/>
              </w:rPr>
              <w:drawing>
                <wp:inline distB="114300" distT="114300" distL="114300" distR="114300">
                  <wp:extent cx="1552575" cy="9652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52575" cy="9652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C">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D">
            <w:pPr>
              <w:rPr>
                <w:sz w:val="24"/>
                <w:szCs w:val="24"/>
              </w:rPr>
            </w:pPr>
            <w:r w:rsidDel="00000000" w:rsidR="00000000" w:rsidRPr="00000000">
              <w:rPr>
                <w:sz w:val="24"/>
                <w:szCs w:val="24"/>
                <w:rtl w:val="0"/>
              </w:rPr>
              <w:t xml:space="preserve">2021-06-17_tyreystem-bevorratungsreport-herbst.jpg</w:t>
            </w:r>
          </w:p>
          <w:p w:rsidR="00000000" w:rsidDel="00000000" w:rsidP="00000000" w:rsidRDefault="00000000" w:rsidRPr="00000000" w14:paraId="0000001E">
            <w:pPr>
              <w:rPr>
                <w:sz w:val="24"/>
                <w:szCs w:val="24"/>
              </w:rPr>
            </w:pPr>
            <w:r w:rsidDel="00000000" w:rsidR="00000000" w:rsidRPr="00000000">
              <w:rPr>
                <w:sz w:val="24"/>
                <w:szCs w:val="24"/>
                <w:rtl w:val="0"/>
              </w:rPr>
              <w:t xml:space="preserve">Der neue Bevorratungsreport Herbst 2021 steht kostenlos zum Herunterladen bereit. </w:t>
            </w:r>
          </w:p>
        </w:tc>
      </w:tr>
    </w:tbl>
    <w:p w:rsidR="00000000" w:rsidDel="00000000" w:rsidP="00000000" w:rsidRDefault="00000000" w:rsidRPr="00000000" w14:paraId="0000001F">
      <w:pPr>
        <w:widowControl w:val="0"/>
        <w:rPr>
          <w:sz w:val="24"/>
          <w:szCs w:val="24"/>
        </w:rPr>
      </w:pP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3">
      <w:pPr>
        <w:widowControl w:val="0"/>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inhabergeführte Unternehmen mit derzeit 130 Mitarbeitern wächst seit mehreren Jahren rasant und verfügt über zwei Standorte im schwäbischen St. Johann sowie je einen Sitz in Ulm und Bretten.</w:t>
      </w:r>
      <w:r w:rsidDel="00000000" w:rsidR="00000000" w:rsidRPr="00000000">
        <w:rPr>
          <w:rtl w:val="0"/>
        </w:rPr>
      </w:r>
    </w:p>
    <w:p w:rsidR="00000000" w:rsidDel="00000000" w:rsidP="00000000" w:rsidRDefault="00000000" w:rsidRPr="00000000" w14:paraId="00000025">
      <w:pPr>
        <w:widowControl w:val="0"/>
        <w:rPr>
          <w:sz w:val="24"/>
          <w:szCs w:val="24"/>
        </w:rPr>
      </w:pPr>
      <w:r w:rsidDel="00000000" w:rsidR="00000000" w:rsidRPr="00000000">
        <w:rPr>
          <w:rtl w:val="0"/>
        </w:rPr>
      </w:r>
    </w:p>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B">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C">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E-Mail:</w:t>
      </w:r>
      <w:hyperlink r:id="rId9">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