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0" w:before="0" w:line="262.9565217391305" w:lineRule="auto"/>
        <w:rPr>
          <w:rFonts w:ascii="Lato" w:cs="Lato" w:eastAsia="Lato" w:hAnsi="Lato"/>
          <w:b w:val="1"/>
          <w:color w:val="009e55"/>
          <w:sz w:val="42"/>
          <w:szCs w:val="42"/>
        </w:rPr>
      </w:pPr>
      <w:bookmarkStart w:colFirst="0" w:colLast="0" w:name="_okbpcie72m5p"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Pr>
        <w:drawing>
          <wp:inline distB="19050" distT="19050" distL="19050" distR="19050">
            <wp:extent cx="1638300" cy="1533525"/>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3"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5">
      <w:pPr>
        <w:widowControl w:val="0"/>
        <w:rPr>
          <w:sz w:val="24"/>
          <w:szCs w:val="24"/>
        </w:rPr>
      </w:pPr>
      <w:r w:rsidDel="00000000" w:rsidR="00000000" w:rsidRPr="00000000">
        <w:rPr>
          <w:rtl w:val="0"/>
        </w:rPr>
      </w:r>
    </w:p>
    <w:p w:rsidR="00000000" w:rsidDel="00000000" w:rsidP="00000000" w:rsidRDefault="00000000" w:rsidRPr="00000000" w14:paraId="00000006">
      <w:pPr>
        <w:widowControl w:val="0"/>
        <w:rPr>
          <w:sz w:val="24"/>
          <w:szCs w:val="24"/>
        </w:rPr>
      </w:pPr>
      <w:r w:rsidDel="00000000" w:rsidR="00000000" w:rsidRPr="00000000">
        <w:rPr>
          <w:sz w:val="24"/>
          <w:szCs w:val="24"/>
          <w:rtl w:val="0"/>
        </w:rPr>
        <w:t xml:space="preserve">St. Johann, 09.10.2020</w:t>
      </w:r>
    </w:p>
    <w:p w:rsidR="00000000" w:rsidDel="00000000" w:rsidP="00000000" w:rsidRDefault="00000000" w:rsidRPr="00000000" w14:paraId="00000007">
      <w:pPr>
        <w:rPr>
          <w:sz w:val="20"/>
          <w:szCs w:val="20"/>
          <w:u w:val="single"/>
        </w:rPr>
      </w:pPr>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Endspurt: RDKS-Bevorratungsaktion von TyreSystem endet</w:t>
      </w:r>
    </w:p>
    <w:p w:rsidR="00000000" w:rsidDel="00000000" w:rsidP="00000000" w:rsidRDefault="00000000" w:rsidRPr="00000000" w14:paraId="00000009">
      <w:pPr>
        <w:rPr>
          <w:b w:val="1"/>
          <w:sz w:val="28"/>
          <w:szCs w:val="28"/>
        </w:rPr>
      </w:pPr>
      <w:r w:rsidDel="00000000" w:rsidR="00000000" w:rsidRPr="00000000">
        <w:rPr>
          <w:rtl w:val="0"/>
        </w:rPr>
      </w:r>
    </w:p>
    <w:p w:rsidR="00000000" w:rsidDel="00000000" w:rsidP="00000000" w:rsidRDefault="00000000" w:rsidRPr="00000000" w14:paraId="0000000A">
      <w:pPr>
        <w:rPr>
          <w:b w:val="1"/>
          <w:sz w:val="28"/>
          <w:szCs w:val="28"/>
        </w:rPr>
      </w:pPr>
      <w:r w:rsidDel="00000000" w:rsidR="00000000" w:rsidRPr="00000000">
        <w:rPr>
          <w:sz w:val="24"/>
          <w:szCs w:val="24"/>
          <w:rtl w:val="0"/>
        </w:rPr>
        <w:t xml:space="preserve">Noch bis zum 31.10.2020 können Interessierte von den günstigen Preisen der aktuellen RDKS-Bevorratungsaktion des Online-Großhändlers TyreSystem profitieren. Zusätzlich haben alle Teilnehmer die Möglichkeit, nicht benötigte Sensoren ohne Rücksende- und Einlagerungskosten </w:t>
      </w:r>
      <w:r w:rsidDel="00000000" w:rsidR="00000000" w:rsidRPr="00000000">
        <w:rPr>
          <w:sz w:val="24"/>
          <w:szCs w:val="24"/>
          <w:rtl w:val="0"/>
        </w:rPr>
        <w:t xml:space="preserve">bis zum 15. Dezember 2020</w:t>
      </w:r>
      <w:r w:rsidDel="00000000" w:rsidR="00000000" w:rsidRPr="00000000">
        <w:rPr>
          <w:sz w:val="24"/>
          <w:szCs w:val="24"/>
          <w:rtl w:val="0"/>
        </w:rPr>
        <w:t xml:space="preserve"> wieder zurückzugeben und sich anschließend die nicht benötigten Sensoren gutschreiben zu lassen.</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sz w:val="24"/>
          <w:szCs w:val="24"/>
          <w:rtl w:val="0"/>
        </w:rPr>
        <w:t xml:space="preserve">Voraussetzung ist die Bevorratung von mindestens 40 Sensoren aus der Aktionspreisliste. Dabei können die unterschiedlichen Marken und Modelle frei kombiniert und die Gesamtmenge beliebig aufgeteilt werden. Die Liste dient gleichzeitig als Bestellformular und ist zusammen mit weiteren Informationen unter www.tyresystem.de/neuigkeiten/2020/rdks-bevorratungsaktion-herbst zu finden. </w:t>
      </w: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Bildmaterial:</w:t>
      </w:r>
    </w:p>
    <w:p w:rsidR="00000000" w:rsidDel="00000000" w:rsidP="00000000" w:rsidRDefault="00000000" w:rsidRPr="00000000" w14:paraId="0000000F">
      <w:pPr>
        <w:rPr>
          <w:b w:val="1"/>
          <w:sz w:val="24"/>
          <w:szCs w:val="24"/>
        </w:rPr>
      </w:pPr>
      <w:r w:rsidDel="00000000" w:rsidR="00000000" w:rsidRPr="00000000">
        <w:rPr>
          <w:rtl w:val="0"/>
        </w:rPr>
      </w:r>
    </w:p>
    <w:tbl>
      <w:tblPr>
        <w:tblStyle w:val="Table1"/>
        <w:tblW w:w="92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360"/>
        <w:gridCol w:w="840"/>
        <w:gridCol w:w="5580"/>
        <w:tblGridChange w:id="0">
          <w:tblGrid>
            <w:gridCol w:w="2460"/>
            <w:gridCol w:w="360"/>
            <w:gridCol w:w="840"/>
            <w:gridCol w:w="5580"/>
          </w:tblGrid>
        </w:tblGridChange>
      </w:tblGrid>
      <w:tr>
        <w:trPr>
          <w:trHeight w:val="420" w:hRule="atLeast"/>
        </w:trPr>
        <w:tc>
          <w:tcPr>
            <w:shd w:fill="auto" w:val="clear"/>
            <w:tcMar>
              <w:top w:w="0.0" w:type="dxa"/>
              <w:left w:w="0.0" w:type="dxa"/>
              <w:bottom w:w="0.0" w:type="dxa"/>
              <w:right w:w="0.0" w:type="dxa"/>
            </w:tcMar>
            <w:vAlign w:val="top"/>
          </w:tcPr>
          <w:p w:rsidR="00000000" w:rsidDel="00000000" w:rsidP="00000000" w:rsidRDefault="00000000" w:rsidRPr="00000000" w14:paraId="00000010">
            <w:pPr>
              <w:widowControl w:val="0"/>
              <w:spacing w:line="240" w:lineRule="auto"/>
              <w:rPr>
                <w:b w:val="1"/>
                <w:sz w:val="24"/>
                <w:szCs w:val="24"/>
              </w:rPr>
            </w:pPr>
            <w:r w:rsidDel="00000000" w:rsidR="00000000" w:rsidRPr="00000000">
              <w:rPr>
                <w:b w:val="1"/>
                <w:sz w:val="24"/>
                <w:szCs w:val="24"/>
              </w:rPr>
              <w:drawing>
                <wp:inline distB="114300" distT="114300" distL="114300" distR="114300">
                  <wp:extent cx="1552575" cy="1104900"/>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552575" cy="11049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1">
            <w:pPr>
              <w:widowControl w:val="0"/>
              <w:spacing w:line="240" w:lineRule="auto"/>
              <w:rPr>
                <w:b w:val="1"/>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2">
            <w:pPr>
              <w:rPr>
                <w:sz w:val="24"/>
                <w:szCs w:val="24"/>
              </w:rPr>
            </w:pPr>
            <w:r w:rsidDel="00000000" w:rsidR="00000000" w:rsidRPr="00000000">
              <w:rPr>
                <w:sz w:val="24"/>
                <w:szCs w:val="24"/>
                <w:rtl w:val="0"/>
              </w:rPr>
              <w:t xml:space="preserve">Datei:</w:t>
            </w:r>
            <w:r w:rsidDel="00000000" w:rsidR="00000000" w:rsidRPr="00000000">
              <w:rPr>
                <w:sz w:val="24"/>
                <w:szCs w:val="24"/>
                <w:rtl w:val="0"/>
              </w:rPr>
              <w:t xml:space="preserve">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Titel: </w:t>
            </w:r>
          </w:p>
        </w:tc>
        <w:tc>
          <w:tcPr>
            <w:shd w:fill="auto" w:val="clear"/>
            <w:tcMar>
              <w:top w:w="0.0" w:type="dxa"/>
              <w:left w:w="0.0" w:type="dxa"/>
              <w:bottom w:w="0.0" w:type="dxa"/>
              <w:right w:w="0.0" w:type="dxa"/>
            </w:tcMar>
            <w:vAlign w:val="top"/>
          </w:tcPr>
          <w:p w:rsidR="00000000" w:rsidDel="00000000" w:rsidP="00000000" w:rsidRDefault="00000000" w:rsidRPr="00000000" w14:paraId="00000015">
            <w:pPr>
              <w:rPr>
                <w:sz w:val="24"/>
                <w:szCs w:val="24"/>
              </w:rPr>
            </w:pPr>
            <w:r w:rsidDel="00000000" w:rsidR="00000000" w:rsidRPr="00000000">
              <w:rPr>
                <w:sz w:val="24"/>
                <w:szCs w:val="24"/>
                <w:rtl w:val="0"/>
              </w:rPr>
              <w:t xml:space="preserve">2020-10-09_tyresystem-rdks-bevorratungsaktion.jpg</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RDKS-Bevorratungsaktion Herbst 2020</w:t>
            </w:r>
          </w:p>
        </w:tc>
      </w:tr>
    </w:tbl>
    <w:p w:rsidR="00000000" w:rsidDel="00000000" w:rsidP="00000000" w:rsidRDefault="00000000" w:rsidRPr="00000000" w14:paraId="00000018">
      <w:pPr>
        <w:widowControl w:val="0"/>
        <w:rPr>
          <w:sz w:val="24"/>
          <w:szCs w:val="24"/>
        </w:rPr>
      </w:pPr>
      <w:r w:rsidDel="00000000" w:rsidR="00000000" w:rsidRPr="00000000">
        <w:rPr>
          <w:rtl w:val="0"/>
        </w:rPr>
      </w:r>
    </w:p>
    <w:p w:rsidR="00000000" w:rsidDel="00000000" w:rsidP="00000000" w:rsidRDefault="00000000" w:rsidRPr="00000000" w14:paraId="00000019">
      <w:pPr>
        <w:widowControl w:val="0"/>
        <w:rPr>
          <w:sz w:val="24"/>
          <w:szCs w:val="24"/>
        </w:rPr>
      </w:pPr>
      <w:r w:rsidDel="00000000" w:rsidR="00000000" w:rsidRPr="00000000">
        <w:rPr>
          <w:rtl w:val="0"/>
        </w:rPr>
      </w:r>
    </w:p>
    <w:p w:rsidR="00000000" w:rsidDel="00000000" w:rsidP="00000000" w:rsidRDefault="00000000" w:rsidRPr="00000000" w14:paraId="0000001A">
      <w:pPr>
        <w:widowControl w:val="0"/>
        <w:rPr>
          <w:sz w:val="24"/>
          <w:szCs w:val="24"/>
        </w:rPr>
      </w:pPr>
      <w:r w:rsidDel="00000000" w:rsidR="00000000" w:rsidRPr="00000000">
        <w:rPr>
          <w:rtl w:val="0"/>
        </w:rPr>
      </w:r>
    </w:p>
    <w:p w:rsidR="00000000" w:rsidDel="00000000" w:rsidP="00000000" w:rsidRDefault="00000000" w:rsidRPr="00000000" w14:paraId="0000001B">
      <w:pPr>
        <w:widowControl w:val="0"/>
        <w:rPr>
          <w:sz w:val="24"/>
          <w:szCs w:val="24"/>
        </w:rPr>
      </w:pPr>
      <w:r w:rsidDel="00000000" w:rsidR="00000000" w:rsidRPr="00000000">
        <w:rPr>
          <w:rtl w:val="0"/>
        </w:rPr>
      </w:r>
    </w:p>
    <w:p w:rsidR="00000000" w:rsidDel="00000000" w:rsidP="00000000" w:rsidRDefault="00000000" w:rsidRPr="00000000" w14:paraId="0000001C">
      <w:pPr>
        <w:widowControl w:val="0"/>
        <w:rPr>
          <w:sz w:val="24"/>
          <w:szCs w:val="24"/>
        </w:rPr>
      </w:pPr>
      <w:r w:rsidDel="00000000" w:rsidR="00000000" w:rsidRPr="00000000">
        <w:rPr>
          <w:rtl w:val="0"/>
        </w:rPr>
      </w:r>
    </w:p>
    <w:p w:rsidR="00000000" w:rsidDel="00000000" w:rsidP="00000000" w:rsidRDefault="00000000" w:rsidRPr="00000000" w14:paraId="0000001D">
      <w:pPr>
        <w:widowControl w:val="0"/>
        <w:rPr>
          <w:sz w:val="24"/>
          <w:szCs w:val="24"/>
        </w:rPr>
      </w:pPr>
      <w:r w:rsidDel="00000000" w:rsidR="00000000" w:rsidRPr="00000000">
        <w:rPr>
          <w:rtl w:val="0"/>
        </w:rPr>
      </w:r>
    </w:p>
    <w:p w:rsidR="00000000" w:rsidDel="00000000" w:rsidP="00000000" w:rsidRDefault="00000000" w:rsidRPr="00000000" w14:paraId="0000001E">
      <w:pPr>
        <w:widowControl w:val="0"/>
        <w:rPr>
          <w:sz w:val="24"/>
          <w:szCs w:val="24"/>
        </w:rPr>
      </w:pPr>
      <w:r w:rsidDel="00000000" w:rsidR="00000000" w:rsidRPr="00000000">
        <w:rPr>
          <w:rtl w:val="0"/>
        </w:rPr>
      </w:r>
    </w:p>
    <w:p w:rsidR="00000000" w:rsidDel="00000000" w:rsidP="00000000" w:rsidRDefault="00000000" w:rsidRPr="00000000" w14:paraId="0000001F">
      <w:pPr>
        <w:widowControl w:val="0"/>
        <w:rPr>
          <w:sz w:val="24"/>
          <w:szCs w:val="24"/>
        </w:rPr>
      </w:pPr>
      <w:r w:rsidDel="00000000" w:rsidR="00000000" w:rsidRPr="00000000">
        <w:rPr>
          <w:rtl w:val="0"/>
        </w:rPr>
      </w:r>
    </w:p>
    <w:p w:rsidR="00000000" w:rsidDel="00000000" w:rsidP="00000000" w:rsidRDefault="00000000" w:rsidRPr="00000000" w14:paraId="00000020">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Über TyreSystem</w:t>
      </w:r>
    </w:p>
    <w:p w:rsidR="00000000" w:rsidDel="00000000" w:rsidP="00000000" w:rsidRDefault="00000000" w:rsidRPr="00000000" w14:paraId="00000023">
      <w:pPr>
        <w:widowControl w:val="0"/>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der Reifenbranche vereinfachen die tägliche Geschäftsabwicklung von Reifenhändlern, Kfz-Werkstätten oder Autohäusern. Das mittelständische Unternehmen wächst seit mehreren Jahren rasant und verfügt über zwei Standorte im schwäbischen St. Johann sowie je einen Sitz in Ulm und Bretten.</w:t>
      </w:r>
      <w:r w:rsidDel="00000000" w:rsidR="00000000" w:rsidRPr="00000000">
        <w:rPr>
          <w:rtl w:val="0"/>
        </w:rPr>
      </w:r>
    </w:p>
    <w:p w:rsidR="00000000" w:rsidDel="00000000" w:rsidP="00000000" w:rsidRDefault="00000000" w:rsidRPr="00000000" w14:paraId="00000025">
      <w:pPr>
        <w:widowControl w:val="0"/>
        <w:rPr>
          <w:sz w:val="24"/>
          <w:szCs w:val="24"/>
        </w:rPr>
      </w:pPr>
      <w:r w:rsidDel="00000000" w:rsidR="00000000" w:rsidRPr="00000000">
        <w:rPr>
          <w:rtl w:val="0"/>
        </w:rPr>
      </w:r>
    </w:p>
    <w:p w:rsidR="00000000" w:rsidDel="00000000" w:rsidP="00000000" w:rsidRDefault="00000000" w:rsidRPr="00000000" w14:paraId="00000026">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Kontakt:</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widowControl w:val="0"/>
        <w:ind w:right="-268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2B">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C">
      <w:pPr>
        <w:widowControl w:val="0"/>
        <w:ind w:right="-268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D">
      <w:pPr>
        <w:widowControl w:val="0"/>
        <w:ind w:right="-2680"/>
        <w:rPr>
          <w:sz w:val="24"/>
          <w:szCs w:val="24"/>
        </w:rPr>
      </w:pPr>
      <w:r w:rsidDel="00000000" w:rsidR="00000000" w:rsidRPr="00000000">
        <w:rPr>
          <w:sz w:val="24"/>
          <w:szCs w:val="24"/>
          <w:rtl w:val="0"/>
        </w:rPr>
        <w:t xml:space="preserve">E-Mail: </w:t>
      </w:r>
      <w:hyperlink r:id="rId9">
        <w:r w:rsidDel="00000000" w:rsidR="00000000" w:rsidRPr="00000000">
          <w:rPr>
            <w:color w:val="1155cc"/>
            <w:sz w:val="24"/>
            <w:szCs w:val="24"/>
            <w:u w:val="single"/>
            <w:rtl w:val="0"/>
          </w:rPr>
          <w:t xml:space="preserve">rebecca.rohmeder@rsu.de</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becca.rohmeder@rsu.de"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