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3120" w:rsidRDefault="002A3120"/>
    <w:p w:rsidR="002A3120" w:rsidRDefault="002A3120"/>
    <w:p w:rsidR="002A3120" w:rsidRDefault="007B388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9050" distB="19050" distL="19050" distR="19050">
            <wp:extent cx="1638300" cy="1533525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3" name="image1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tyresystem-logo-newsletter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3120" w:rsidRDefault="002A3120">
      <w:pPr>
        <w:widowControl w:val="0"/>
        <w:rPr>
          <w:sz w:val="24"/>
          <w:szCs w:val="24"/>
        </w:rPr>
      </w:pPr>
    </w:p>
    <w:p w:rsidR="002A3120" w:rsidRDefault="007B38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St. Johann, 10.08.2020</w:t>
      </w:r>
    </w:p>
    <w:p w:rsidR="002A3120" w:rsidRDefault="002A3120">
      <w:pPr>
        <w:rPr>
          <w:sz w:val="20"/>
          <w:szCs w:val="20"/>
          <w:u w:val="single"/>
        </w:rPr>
      </w:pPr>
    </w:p>
    <w:p w:rsidR="002A3120" w:rsidRDefault="007B38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Neukunden-Aktion: </w:t>
      </w:r>
      <w:proofErr w:type="spellStart"/>
      <w:r>
        <w:rPr>
          <w:b/>
          <w:sz w:val="28"/>
          <w:szCs w:val="28"/>
        </w:rPr>
        <w:t>TyreSystem</w:t>
      </w:r>
      <w:proofErr w:type="spellEnd"/>
      <w:r>
        <w:rPr>
          <w:b/>
          <w:sz w:val="28"/>
          <w:szCs w:val="28"/>
        </w:rPr>
        <w:t xml:space="preserve"> begrüßt Kunden mit 30 Euro </w:t>
      </w:r>
    </w:p>
    <w:p w:rsidR="002A3120" w:rsidRDefault="002A3120">
      <w:pPr>
        <w:rPr>
          <w:sz w:val="24"/>
          <w:szCs w:val="24"/>
        </w:rPr>
      </w:pPr>
    </w:p>
    <w:p w:rsidR="002A3120" w:rsidRDefault="007B3885">
      <w:pPr>
        <w:rPr>
          <w:sz w:val="24"/>
          <w:szCs w:val="24"/>
        </w:rPr>
      </w:pPr>
      <w:r>
        <w:rPr>
          <w:sz w:val="24"/>
          <w:szCs w:val="24"/>
        </w:rPr>
        <w:t xml:space="preserve">Der Online-Großhändler </w:t>
      </w:r>
      <w:proofErr w:type="spellStart"/>
      <w:r>
        <w:rPr>
          <w:sz w:val="24"/>
          <w:szCs w:val="24"/>
        </w:rPr>
        <w:t>TyreSystem</w:t>
      </w:r>
      <w:proofErr w:type="spellEnd"/>
      <w:r>
        <w:rPr>
          <w:sz w:val="24"/>
          <w:szCs w:val="24"/>
        </w:rPr>
        <w:t xml:space="preserve"> startet mit einer Neukunden-Aktion in die Herbstsaison. Jeder, der sich zwischen dem 1. September und dem 30. November über </w:t>
      </w:r>
      <w:r>
        <w:rPr>
          <w:b/>
          <w:sz w:val="24"/>
          <w:szCs w:val="24"/>
        </w:rPr>
        <w:t>www.tyresystem.de/neukundenaktion</w:t>
      </w:r>
      <w:r>
        <w:rPr>
          <w:sz w:val="24"/>
          <w:szCs w:val="24"/>
        </w:rPr>
        <w:t xml:space="preserve"> registriert und dabei den Gutscheincode</w:t>
      </w:r>
      <w:r>
        <w:rPr>
          <w:b/>
          <w:sz w:val="24"/>
          <w:szCs w:val="24"/>
        </w:rPr>
        <w:t xml:space="preserve"> amz-30r </w:t>
      </w:r>
      <w:r>
        <w:rPr>
          <w:sz w:val="24"/>
          <w:szCs w:val="24"/>
        </w:rPr>
        <w:t xml:space="preserve">angibt, bekommt </w:t>
      </w:r>
      <w:r>
        <w:rPr>
          <w:sz w:val="24"/>
          <w:szCs w:val="24"/>
        </w:rPr>
        <w:t>automatisch 30 Euro auf seine erste Bestellung gutgeschrieben. Ein Mindestbestellwert ist nicht erforderlich, jedoch muss die Bestellung innerhalb des oben genannten Aktionszeitraum erfolgen.</w:t>
      </w:r>
    </w:p>
    <w:p w:rsidR="002A3120" w:rsidRDefault="007B3885">
      <w:pPr>
        <w:rPr>
          <w:sz w:val="24"/>
          <w:szCs w:val="24"/>
        </w:rPr>
      </w:pPr>
      <w:r>
        <w:rPr>
          <w:sz w:val="24"/>
          <w:szCs w:val="24"/>
        </w:rPr>
        <w:t>Die Neukunden-Aktion ist eine ideale Gelegenheit, um in das umfa</w:t>
      </w:r>
      <w:r>
        <w:rPr>
          <w:sz w:val="24"/>
          <w:szCs w:val="24"/>
        </w:rPr>
        <w:t xml:space="preserve">ngreiche Sortiment an Reifen, Felgen, Kompletträdern und Radzubehör reinzuschnuppern, die vielen praktischen Servicefunktionen zu testen und dabei auch noch Geld zu sparen. Die Registrierung ist kostenfrei und ohne vertragliche Bindung.  </w:t>
      </w:r>
    </w:p>
    <w:p w:rsidR="002A3120" w:rsidRDefault="002A3120">
      <w:pPr>
        <w:rPr>
          <w:sz w:val="24"/>
          <w:szCs w:val="24"/>
        </w:rPr>
      </w:pPr>
    </w:p>
    <w:p w:rsidR="002A3120" w:rsidRDefault="007B3885">
      <w:pPr>
        <w:rPr>
          <w:b/>
          <w:sz w:val="24"/>
          <w:szCs w:val="24"/>
        </w:rPr>
      </w:pPr>
      <w:r>
        <w:rPr>
          <w:b/>
          <w:sz w:val="24"/>
          <w:szCs w:val="24"/>
        </w:rPr>
        <w:t>Bildmaterial:</w:t>
      </w:r>
    </w:p>
    <w:p w:rsidR="002A3120" w:rsidRDefault="002A3120">
      <w:pPr>
        <w:rPr>
          <w:b/>
          <w:sz w:val="24"/>
          <w:szCs w:val="24"/>
        </w:rPr>
      </w:pPr>
    </w:p>
    <w:tbl>
      <w:tblPr>
        <w:tblStyle w:val="a"/>
        <w:tblW w:w="89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690"/>
        <w:gridCol w:w="4980"/>
      </w:tblGrid>
      <w:tr w:rsidR="002A3120">
        <w:trPr>
          <w:trHeight w:val="420"/>
        </w:trPr>
        <w:tc>
          <w:tcPr>
            <w:tcW w:w="32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20" w:rsidRDefault="007B3885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114300" distB="114300" distL="114300" distR="114300">
                  <wp:extent cx="2076450" cy="1384300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384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20" w:rsidRDefault="007B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Datei: </w:t>
            </w:r>
          </w:p>
          <w:p w:rsidR="002A3120" w:rsidRDefault="002A3120">
            <w:pPr>
              <w:rPr>
                <w:sz w:val="24"/>
                <w:szCs w:val="24"/>
              </w:rPr>
            </w:pPr>
          </w:p>
          <w:p w:rsidR="002A3120" w:rsidRDefault="002A3120">
            <w:pPr>
              <w:rPr>
                <w:sz w:val="24"/>
                <w:szCs w:val="24"/>
              </w:rPr>
            </w:pPr>
          </w:p>
          <w:p w:rsidR="002A3120" w:rsidRDefault="007B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Titel: 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A3120" w:rsidRDefault="007B3885">
            <w:r>
              <w:t>2020-08_tyresystem-30-euro-neukundenaktion.jpg</w:t>
            </w:r>
          </w:p>
          <w:p w:rsidR="002A3120" w:rsidRDefault="002A3120">
            <w:pPr>
              <w:rPr>
                <w:sz w:val="24"/>
                <w:szCs w:val="24"/>
              </w:rPr>
            </w:pPr>
          </w:p>
          <w:p w:rsidR="002A3120" w:rsidRDefault="007B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 zum 30.11.2020 erhalten alle Neukunden eine Willkommens-Gutschrift in Höhe von </w:t>
            </w:r>
          </w:p>
          <w:p w:rsidR="002A3120" w:rsidRDefault="007B38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Euro auf ihre erste Bestellung. </w:t>
            </w:r>
          </w:p>
        </w:tc>
      </w:tr>
    </w:tbl>
    <w:p w:rsidR="003C2E1F" w:rsidRDefault="003C2E1F">
      <w:pPr>
        <w:widowControl w:val="0"/>
        <w:rPr>
          <w:sz w:val="24"/>
          <w:szCs w:val="24"/>
        </w:rPr>
      </w:pPr>
    </w:p>
    <w:p w:rsidR="002A3120" w:rsidRDefault="002A3120">
      <w:pPr>
        <w:widowControl w:val="0"/>
        <w:rPr>
          <w:sz w:val="24"/>
          <w:szCs w:val="24"/>
        </w:rPr>
      </w:pPr>
    </w:p>
    <w:p w:rsidR="002A3120" w:rsidRDefault="007B38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:rsidR="002A3120" w:rsidRDefault="002A3120">
      <w:pPr>
        <w:rPr>
          <w:sz w:val="24"/>
          <w:szCs w:val="24"/>
        </w:rPr>
      </w:pPr>
    </w:p>
    <w:p w:rsidR="002A3120" w:rsidRDefault="007B38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Über </w:t>
      </w:r>
      <w:proofErr w:type="spellStart"/>
      <w:r>
        <w:rPr>
          <w:b/>
          <w:sz w:val="24"/>
          <w:szCs w:val="24"/>
        </w:rPr>
        <w:t>TyreSystem</w:t>
      </w:r>
      <w:proofErr w:type="spellEnd"/>
    </w:p>
    <w:p w:rsidR="002A3120" w:rsidRDefault="002A3120">
      <w:pPr>
        <w:widowControl w:val="0"/>
        <w:rPr>
          <w:sz w:val="24"/>
          <w:szCs w:val="24"/>
        </w:rPr>
      </w:pPr>
    </w:p>
    <w:p w:rsidR="002A3120" w:rsidRDefault="007B3885">
      <w:pPr>
        <w:rPr>
          <w:sz w:val="24"/>
          <w:szCs w:val="24"/>
        </w:rPr>
      </w:pPr>
      <w:r>
        <w:rPr>
          <w:sz w:val="24"/>
          <w:szCs w:val="24"/>
        </w:rPr>
        <w:t xml:space="preserve">Seit 2007 bietet das B2B-Onlineportal unter </w:t>
      </w:r>
      <w:r>
        <w:rPr>
          <w:i/>
          <w:sz w:val="24"/>
          <w:szCs w:val="24"/>
        </w:rPr>
        <w:t>www.tyresystem.de</w:t>
      </w:r>
      <w:r>
        <w:rPr>
          <w:sz w:val="24"/>
          <w:szCs w:val="24"/>
        </w:rPr>
        <w:t xml:space="preserve"> seinen Kunden kostenlos eine der einfachsten Lösungen für den</w:t>
      </w:r>
      <w:r>
        <w:rPr>
          <w:sz w:val="24"/>
          <w:szCs w:val="24"/>
        </w:rPr>
        <w:t xml:space="preserve"> Online-Reifenhandel am Markt. Eine Vielzahl praktischer Funktionen und Module sowie Schnittstellen zu vielen </w:t>
      </w:r>
      <w:r>
        <w:rPr>
          <w:sz w:val="24"/>
          <w:szCs w:val="24"/>
        </w:rPr>
        <w:lastRenderedPageBreak/>
        <w:t>Warenwirtschaftssystemen der Reifenbranche vereinfachen die tägliche Geschäftsabwicklung von Reifenhändlern, Kfz-Werkstätten oder Autohäusern. Das</w:t>
      </w:r>
      <w:r>
        <w:rPr>
          <w:sz w:val="24"/>
          <w:szCs w:val="24"/>
        </w:rPr>
        <w:t xml:space="preserve"> mittelständische Unternehmen wächst seit mehreren Jahren rasant und verfügt über zwei Standorte im schwäbischen St. Johann sowie einen Sitz in Ulm.</w:t>
      </w:r>
    </w:p>
    <w:p w:rsidR="002A3120" w:rsidRDefault="002A3120">
      <w:pPr>
        <w:widowControl w:val="0"/>
        <w:rPr>
          <w:sz w:val="24"/>
          <w:szCs w:val="24"/>
        </w:rPr>
      </w:pPr>
    </w:p>
    <w:p w:rsidR="002A3120" w:rsidRDefault="007B3885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</w:t>
      </w:r>
      <w:r>
        <w:rPr>
          <w:sz w:val="24"/>
          <w:szCs w:val="24"/>
        </w:rPr>
        <w:t xml:space="preserve">. . . . </w:t>
      </w:r>
    </w:p>
    <w:p w:rsidR="002A3120" w:rsidRDefault="002A3120">
      <w:pPr>
        <w:rPr>
          <w:b/>
          <w:sz w:val="24"/>
          <w:szCs w:val="24"/>
        </w:rPr>
      </w:pPr>
    </w:p>
    <w:p w:rsidR="002A3120" w:rsidRDefault="007B3885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Kontakt:</w:t>
      </w:r>
    </w:p>
    <w:p w:rsidR="002A3120" w:rsidRDefault="002A3120">
      <w:pPr>
        <w:rPr>
          <w:sz w:val="24"/>
          <w:szCs w:val="24"/>
        </w:rPr>
      </w:pPr>
    </w:p>
    <w:p w:rsidR="002A3120" w:rsidRDefault="007B3885">
      <w:pPr>
        <w:widowControl w:val="0"/>
        <w:ind w:right="-2680"/>
        <w:rPr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:rsidR="002A3120" w:rsidRDefault="007B3885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 xml:space="preserve">Öffentlichkeitsarbeit &amp;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Media</w:t>
      </w:r>
    </w:p>
    <w:p w:rsidR="002A3120" w:rsidRDefault="007B3885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:rsidR="002A3120" w:rsidRDefault="007B3885">
      <w:pPr>
        <w:widowControl w:val="0"/>
        <w:ind w:right="-268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9">
        <w:r>
          <w:rPr>
            <w:color w:val="1155CC"/>
            <w:sz w:val="24"/>
            <w:szCs w:val="24"/>
            <w:u w:val="single"/>
          </w:rPr>
          <w:t>rebecca.rohmeder@rsu.de</w:t>
        </w:r>
      </w:hyperlink>
    </w:p>
    <w:p w:rsidR="002A3120" w:rsidRDefault="002A3120"/>
    <w:p w:rsidR="002A3120" w:rsidRDefault="002A3120"/>
    <w:p w:rsidR="002A3120" w:rsidRDefault="002A3120"/>
    <w:sectPr w:rsidR="002A3120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3885" w:rsidRDefault="007B3885">
      <w:pPr>
        <w:spacing w:line="240" w:lineRule="auto"/>
      </w:pPr>
      <w:r>
        <w:separator/>
      </w:r>
    </w:p>
  </w:endnote>
  <w:endnote w:type="continuationSeparator" w:id="0">
    <w:p w:rsidR="007B3885" w:rsidRDefault="007B3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3885" w:rsidRDefault="007B3885">
      <w:pPr>
        <w:spacing w:line="240" w:lineRule="auto"/>
      </w:pPr>
      <w:r>
        <w:separator/>
      </w:r>
    </w:p>
  </w:footnote>
  <w:footnote w:type="continuationSeparator" w:id="0">
    <w:p w:rsidR="007B3885" w:rsidRDefault="007B38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3120" w:rsidRDefault="002A31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20"/>
    <w:rsid w:val="002A3120"/>
    <w:rsid w:val="003C2E1F"/>
    <w:rsid w:val="007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038119"/>
  <w15:docId w15:val="{4AF90043-AF1A-304D-BDF4-5A366886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ebecca.rohmeder@rs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1727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2020-08-10T06:49:00Z</dcterms:created>
  <dcterms:modified xsi:type="dcterms:W3CDTF">2020-08-10T06:50:00Z</dcterms:modified>
</cp:coreProperties>
</file>